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AE520" w14:textId="543EAD5F" w:rsidR="00431D15" w:rsidRDefault="00431D15" w:rsidP="00AD7C10">
      <w:pPr>
        <w:contextualSpacing/>
        <w:rPr>
          <w:b/>
        </w:rPr>
      </w:pPr>
    </w:p>
    <w:p w14:paraId="7E066F65" w14:textId="01494280" w:rsidR="00192B01" w:rsidRDefault="00192B01" w:rsidP="00AD7C10">
      <w:pPr>
        <w:pStyle w:val="Heading3"/>
        <w:tabs>
          <w:tab w:val="left" w:pos="3168"/>
          <w:tab w:val="center" w:pos="4680"/>
        </w:tabs>
        <w:spacing w:line="240" w:lineRule="auto"/>
        <w:contextualSpacing/>
        <w:jc w:val="center"/>
        <w:rPr>
          <w:b/>
          <w:i w:val="0"/>
          <w:iCs w:val="0"/>
          <w:lang w:val="en-US"/>
        </w:rPr>
      </w:pPr>
      <w:r w:rsidRPr="00CD0241">
        <w:rPr>
          <w:b/>
          <w:i w:val="0"/>
          <w:iCs w:val="0"/>
          <w:lang w:val="en-US"/>
        </w:rPr>
        <w:t>Abstr</w:t>
      </w:r>
      <w:r w:rsidR="00B53FA9">
        <w:rPr>
          <w:b/>
          <w:i w:val="0"/>
          <w:iCs w:val="0"/>
          <w:lang w:val="en-US"/>
        </w:rPr>
        <w:t>act</w:t>
      </w:r>
    </w:p>
    <w:p w14:paraId="2B2343EC" w14:textId="77777777" w:rsidR="00AD7C10" w:rsidRPr="00AD7C10" w:rsidRDefault="00AD7C10" w:rsidP="00AD7C10"/>
    <w:p w14:paraId="3C37EC7E" w14:textId="7B4E487A" w:rsidR="001A00C5" w:rsidRDefault="00B55917" w:rsidP="00AD7C10">
      <w:pPr>
        <w:contextualSpacing/>
      </w:pPr>
      <w:r>
        <w:t xml:space="preserve">To address continually </w:t>
      </w:r>
      <w:r w:rsidR="00192B01">
        <w:t xml:space="preserve">decreasing enrolment </w:t>
      </w:r>
      <w:r w:rsidR="00085663">
        <w:t xml:space="preserve">and rising attrition </w:t>
      </w:r>
      <w:r w:rsidR="00192B01">
        <w:t xml:space="preserve">in </w:t>
      </w:r>
      <w:r w:rsidR="00085663">
        <w:t>post</w:t>
      </w:r>
      <w:r w:rsidR="00AA113A">
        <w:t>-</w:t>
      </w:r>
      <w:r w:rsidR="00085663">
        <w:t xml:space="preserve">secondary </w:t>
      </w:r>
      <w:r>
        <w:t xml:space="preserve">STEM </w:t>
      </w:r>
      <w:r w:rsidR="00085663">
        <w:t xml:space="preserve">degree programs, </w:t>
      </w:r>
      <w:r w:rsidR="00192B01">
        <w:t>particularly for women</w:t>
      </w:r>
      <w:r w:rsidR="00085663">
        <w:t xml:space="preserve">, </w:t>
      </w:r>
      <w:r w:rsidR="00192B01">
        <w:t xml:space="preserve">the present study </w:t>
      </w:r>
      <w:r w:rsidR="00B31E72">
        <w:t>examine</w:t>
      </w:r>
      <w:r w:rsidR="00085663">
        <w:t>d</w:t>
      </w:r>
      <w:r w:rsidR="00B31E72">
        <w:t xml:space="preserve"> the utility of motivation and emotion variables</w:t>
      </w:r>
      <w:r w:rsidR="00192B01">
        <w:t xml:space="preserve"> to </w:t>
      </w:r>
      <w:r w:rsidR="00B31E72">
        <w:t xml:space="preserve">account for persistence and achievement </w:t>
      </w:r>
      <w:r w:rsidR="00192B01">
        <w:t xml:space="preserve">in science </w:t>
      </w:r>
      <w:r w:rsidR="00B31E72">
        <w:t>in male and female</w:t>
      </w:r>
      <w:r w:rsidR="00192B01">
        <w:t xml:space="preserve"> </w:t>
      </w:r>
      <w:r w:rsidR="00B31E72">
        <w:t>students transitioning from high school to junior college</w:t>
      </w:r>
      <w:r w:rsidR="00192B01">
        <w:t xml:space="preserve">. </w:t>
      </w:r>
      <w:r w:rsidR="0080756B">
        <w:t>Consistent</w:t>
      </w:r>
      <w:r w:rsidR="00192B01">
        <w:t xml:space="preserve"> with self</w:t>
      </w:r>
      <w:r w:rsidR="00AA113A">
        <w:t>-</w:t>
      </w:r>
      <w:r w:rsidR="00192B01">
        <w:t>determination theory (</w:t>
      </w:r>
      <w:proofErr w:type="spellStart"/>
      <w:r w:rsidR="00192B01">
        <w:t>Deci</w:t>
      </w:r>
      <w:proofErr w:type="spellEnd"/>
      <w:r w:rsidR="00192B01">
        <w:t xml:space="preserve"> &amp; Ryan, </w:t>
      </w:r>
      <w:r w:rsidR="00E75C8D">
        <w:t>2012</w:t>
      </w:r>
      <w:r w:rsidR="00192B01">
        <w:t>)</w:t>
      </w:r>
      <w:r w:rsidR="00B31E72">
        <w:t xml:space="preserve"> and </w:t>
      </w:r>
      <w:r w:rsidR="00192B01">
        <w:t>achievement</w:t>
      </w:r>
      <w:r w:rsidR="00AA113A">
        <w:t>-</w:t>
      </w:r>
      <w:r w:rsidR="00192B01">
        <w:t>goal theory (</w:t>
      </w:r>
      <w:r w:rsidR="00E0624C">
        <w:t>Senko et al., 2011</w:t>
      </w:r>
      <w:r w:rsidR="00192B01">
        <w:t xml:space="preserve">), </w:t>
      </w:r>
      <w:r w:rsidR="00B31E72">
        <w:t>s</w:t>
      </w:r>
      <w:r w:rsidR="00192B01">
        <w:t xml:space="preserve">tructural equation modeling </w:t>
      </w:r>
      <w:r w:rsidR="00B31E72">
        <w:t>based on data from</w:t>
      </w:r>
      <w:r w:rsidR="00192B01">
        <w:t xml:space="preserve"> </w:t>
      </w:r>
      <w:r w:rsidR="00B31E72">
        <w:t>1309</w:t>
      </w:r>
      <w:r w:rsidR="00192B01">
        <w:t xml:space="preserve"> students from four English</w:t>
      </w:r>
      <w:r w:rsidR="00AA113A">
        <w:t>-</w:t>
      </w:r>
      <w:r w:rsidR="00192B01">
        <w:t>language</w:t>
      </w:r>
      <w:r w:rsidR="00192B01" w:rsidRPr="00055948">
        <w:t xml:space="preserve"> </w:t>
      </w:r>
      <w:r w:rsidR="00192B01" w:rsidRPr="00ED358D">
        <w:t>CEGEPs</w:t>
      </w:r>
      <w:r w:rsidR="00192B01">
        <w:t xml:space="preserve"> </w:t>
      </w:r>
      <w:r w:rsidR="00B31E72">
        <w:t>showed s</w:t>
      </w:r>
      <w:r w:rsidR="00192B01">
        <w:t xml:space="preserve">tudents’ </w:t>
      </w:r>
      <w:r w:rsidR="00B31E72">
        <w:t>achievement goals, self</w:t>
      </w:r>
      <w:r w:rsidR="00AA113A">
        <w:t>-</w:t>
      </w:r>
      <w:r w:rsidR="00B31E72">
        <w:t xml:space="preserve">efficacy, </w:t>
      </w:r>
      <w:r w:rsidR="008F5741">
        <w:t xml:space="preserve">and </w:t>
      </w:r>
      <w:r w:rsidR="00B31E72">
        <w:t>perceived autonomy support to impact intrinsic motivation, emotions, and achievement that, in turn, predicted persistence in the science domain</w:t>
      </w:r>
      <w:r w:rsidR="00192B01">
        <w:t xml:space="preserve">. </w:t>
      </w:r>
    </w:p>
    <w:p w14:paraId="286A3487" w14:textId="77777777" w:rsidR="00AD7C10" w:rsidRDefault="00AD7C10" w:rsidP="00AD7C10">
      <w:pPr>
        <w:contextualSpacing/>
        <w:jc w:val="center"/>
        <w:rPr>
          <w:b/>
        </w:rPr>
      </w:pPr>
    </w:p>
    <w:p w14:paraId="0D6DF67D" w14:textId="77777777" w:rsidR="00AD7C10" w:rsidRDefault="00AD7C10" w:rsidP="00AD7C10">
      <w:pPr>
        <w:contextualSpacing/>
        <w:jc w:val="center"/>
        <w:rPr>
          <w:b/>
        </w:rPr>
      </w:pPr>
    </w:p>
    <w:p w14:paraId="57EC6C01" w14:textId="6D201E2F" w:rsidR="00192B01" w:rsidRDefault="001A00C5" w:rsidP="00AD7C10">
      <w:pPr>
        <w:contextualSpacing/>
        <w:jc w:val="center"/>
        <w:rPr>
          <w:b/>
        </w:rPr>
      </w:pPr>
      <w:r w:rsidRPr="00CD0241">
        <w:rPr>
          <w:b/>
        </w:rPr>
        <w:t>Précis</w:t>
      </w:r>
    </w:p>
    <w:p w14:paraId="02F16C8F" w14:textId="77777777" w:rsidR="00AD7C10" w:rsidRPr="00CD0241" w:rsidRDefault="00AD7C10" w:rsidP="00AD7C10">
      <w:pPr>
        <w:contextualSpacing/>
        <w:jc w:val="center"/>
        <w:rPr>
          <w:b/>
        </w:rPr>
      </w:pPr>
    </w:p>
    <w:p w14:paraId="6B019653" w14:textId="2F28BBF1" w:rsidR="001A00C5" w:rsidRDefault="00431D15" w:rsidP="00AD7C10">
      <w:pPr>
        <w:contextualSpacing/>
        <w:rPr>
          <w:b/>
        </w:rPr>
      </w:pPr>
      <w:proofErr w:type="spellStart"/>
      <w:r w:rsidRPr="00CD0241">
        <w:rPr>
          <w:iCs/>
        </w:rPr>
        <w:t>Afin</w:t>
      </w:r>
      <w:proofErr w:type="spellEnd"/>
      <w:r w:rsidRPr="00CD0241">
        <w:rPr>
          <w:iCs/>
        </w:rPr>
        <w:t xml:space="preserve"> </w:t>
      </w:r>
      <w:proofErr w:type="spellStart"/>
      <w:r w:rsidRPr="00CD0241">
        <w:rPr>
          <w:iCs/>
        </w:rPr>
        <w:t>d'adresser</w:t>
      </w:r>
      <w:proofErr w:type="spellEnd"/>
      <w:r w:rsidRPr="00CD0241">
        <w:rPr>
          <w:iCs/>
        </w:rPr>
        <w:t xml:space="preserve"> la </w:t>
      </w:r>
      <w:proofErr w:type="spellStart"/>
      <w:r w:rsidRPr="00CD0241">
        <w:rPr>
          <w:iCs/>
        </w:rPr>
        <w:t>baisse</w:t>
      </w:r>
      <w:proofErr w:type="spellEnd"/>
      <w:r w:rsidRPr="00CD0241">
        <w:rPr>
          <w:iCs/>
        </w:rPr>
        <w:t xml:space="preserve"> continue </w:t>
      </w:r>
      <w:proofErr w:type="spellStart"/>
      <w:r w:rsidRPr="00CD0241">
        <w:rPr>
          <w:iCs/>
        </w:rPr>
        <w:t>d'inscription</w:t>
      </w:r>
      <w:proofErr w:type="spellEnd"/>
      <w:r w:rsidRPr="00CD0241">
        <w:rPr>
          <w:iCs/>
        </w:rPr>
        <w:t xml:space="preserve"> et la </w:t>
      </w:r>
      <w:proofErr w:type="spellStart"/>
      <w:r w:rsidRPr="00CD0241">
        <w:rPr>
          <w:iCs/>
        </w:rPr>
        <w:t>hausse</w:t>
      </w:r>
      <w:proofErr w:type="spellEnd"/>
      <w:r w:rsidRPr="00CD0241">
        <w:rPr>
          <w:iCs/>
        </w:rPr>
        <w:t xml:space="preserve"> des </w:t>
      </w:r>
      <w:proofErr w:type="spellStart"/>
      <w:r w:rsidRPr="00CD0241">
        <w:rPr>
          <w:iCs/>
        </w:rPr>
        <w:t>taux</w:t>
      </w:r>
      <w:proofErr w:type="spellEnd"/>
      <w:r w:rsidRPr="00CD0241">
        <w:rPr>
          <w:iCs/>
        </w:rPr>
        <w:t xml:space="preserve"> </w:t>
      </w:r>
      <w:proofErr w:type="spellStart"/>
      <w:r w:rsidRPr="00CD0241">
        <w:rPr>
          <w:iCs/>
        </w:rPr>
        <w:t>d'attrition</w:t>
      </w:r>
      <w:proofErr w:type="spellEnd"/>
      <w:r w:rsidRPr="00CD0241">
        <w:rPr>
          <w:iCs/>
        </w:rPr>
        <w:t xml:space="preserve"> </w:t>
      </w:r>
      <w:proofErr w:type="spellStart"/>
      <w:r w:rsidRPr="00CD0241">
        <w:rPr>
          <w:iCs/>
        </w:rPr>
        <w:t>dans</w:t>
      </w:r>
      <w:proofErr w:type="spellEnd"/>
      <w:r w:rsidRPr="00CD0241">
        <w:rPr>
          <w:iCs/>
        </w:rPr>
        <w:t xml:space="preserve"> le cadre des </w:t>
      </w:r>
      <w:proofErr w:type="spellStart"/>
      <w:r w:rsidRPr="00CD0241">
        <w:rPr>
          <w:iCs/>
        </w:rPr>
        <w:t>programmes</w:t>
      </w:r>
      <w:proofErr w:type="spellEnd"/>
      <w:r w:rsidRPr="00CD0241">
        <w:rPr>
          <w:iCs/>
        </w:rPr>
        <w:t xml:space="preserve"> </w:t>
      </w:r>
      <w:proofErr w:type="spellStart"/>
      <w:r w:rsidRPr="00CD0241">
        <w:rPr>
          <w:iCs/>
        </w:rPr>
        <w:t>d'études</w:t>
      </w:r>
      <w:proofErr w:type="spellEnd"/>
      <w:r w:rsidRPr="00CD0241">
        <w:rPr>
          <w:iCs/>
        </w:rPr>
        <w:t xml:space="preserve"> en sciences, </w:t>
      </w:r>
      <w:proofErr w:type="spellStart"/>
      <w:r w:rsidRPr="00CD0241">
        <w:rPr>
          <w:iCs/>
        </w:rPr>
        <w:t>technologie</w:t>
      </w:r>
      <w:proofErr w:type="spellEnd"/>
      <w:r w:rsidRPr="00CD0241">
        <w:rPr>
          <w:iCs/>
        </w:rPr>
        <w:t xml:space="preserve">, </w:t>
      </w:r>
      <w:proofErr w:type="spellStart"/>
      <w:r w:rsidRPr="00CD0241">
        <w:rPr>
          <w:iCs/>
        </w:rPr>
        <w:t>ingénerie</w:t>
      </w:r>
      <w:proofErr w:type="spellEnd"/>
      <w:r w:rsidRPr="00CD0241">
        <w:rPr>
          <w:iCs/>
        </w:rPr>
        <w:t xml:space="preserve"> et </w:t>
      </w:r>
      <w:proofErr w:type="spellStart"/>
      <w:r w:rsidRPr="00CD0241">
        <w:rPr>
          <w:iCs/>
        </w:rPr>
        <w:t>mathématiques</w:t>
      </w:r>
      <w:proofErr w:type="spellEnd"/>
      <w:r w:rsidRPr="00CD0241">
        <w:rPr>
          <w:iCs/>
        </w:rPr>
        <w:t xml:space="preserve"> au </w:t>
      </w:r>
      <w:proofErr w:type="spellStart"/>
      <w:r w:rsidRPr="00CD0241">
        <w:rPr>
          <w:iCs/>
        </w:rPr>
        <w:t>niveau</w:t>
      </w:r>
      <w:proofErr w:type="spellEnd"/>
      <w:r w:rsidRPr="00CD0241">
        <w:rPr>
          <w:iCs/>
        </w:rPr>
        <w:t xml:space="preserve"> post-</w:t>
      </w:r>
      <w:proofErr w:type="spellStart"/>
      <w:r w:rsidRPr="00CD0241">
        <w:rPr>
          <w:iCs/>
        </w:rPr>
        <w:t>secondaire</w:t>
      </w:r>
      <w:proofErr w:type="spellEnd"/>
      <w:r w:rsidRPr="00CD0241">
        <w:rPr>
          <w:iCs/>
        </w:rPr>
        <w:t xml:space="preserve">, en </w:t>
      </w:r>
      <w:proofErr w:type="spellStart"/>
      <w:r w:rsidRPr="00CD0241">
        <w:rPr>
          <w:iCs/>
        </w:rPr>
        <w:t>particulier</w:t>
      </w:r>
      <w:proofErr w:type="spellEnd"/>
      <w:r w:rsidRPr="00CD0241">
        <w:rPr>
          <w:iCs/>
        </w:rPr>
        <w:t xml:space="preserve"> chez les femmes, la </w:t>
      </w:r>
      <w:proofErr w:type="spellStart"/>
      <w:r w:rsidRPr="00CD0241">
        <w:rPr>
          <w:iCs/>
        </w:rPr>
        <w:t>présente</w:t>
      </w:r>
      <w:proofErr w:type="spellEnd"/>
      <w:r w:rsidRPr="00CD0241">
        <w:rPr>
          <w:iCs/>
        </w:rPr>
        <w:t xml:space="preserve"> </w:t>
      </w:r>
      <w:proofErr w:type="spellStart"/>
      <w:r w:rsidRPr="00CD0241">
        <w:rPr>
          <w:iCs/>
        </w:rPr>
        <w:t>étude</w:t>
      </w:r>
      <w:proofErr w:type="spellEnd"/>
      <w:r w:rsidRPr="00CD0241">
        <w:rPr>
          <w:iCs/>
        </w:rPr>
        <w:t xml:space="preserve"> a </w:t>
      </w:r>
      <w:proofErr w:type="spellStart"/>
      <w:r w:rsidRPr="00CD0241">
        <w:rPr>
          <w:iCs/>
        </w:rPr>
        <w:t>examiné</w:t>
      </w:r>
      <w:proofErr w:type="spellEnd"/>
      <w:r w:rsidRPr="00CD0241">
        <w:rPr>
          <w:iCs/>
        </w:rPr>
        <w:t xml:space="preserve"> </w:t>
      </w:r>
      <w:proofErr w:type="spellStart"/>
      <w:r w:rsidRPr="00CD0241">
        <w:rPr>
          <w:iCs/>
        </w:rPr>
        <w:t>l'utilité</w:t>
      </w:r>
      <w:proofErr w:type="spellEnd"/>
      <w:r w:rsidRPr="00CD0241">
        <w:rPr>
          <w:iCs/>
        </w:rPr>
        <w:t xml:space="preserve"> des variables </w:t>
      </w:r>
      <w:proofErr w:type="spellStart"/>
      <w:r w:rsidRPr="00CD0241">
        <w:rPr>
          <w:iCs/>
        </w:rPr>
        <w:t>motivationelles</w:t>
      </w:r>
      <w:proofErr w:type="spellEnd"/>
      <w:r w:rsidRPr="00CD0241">
        <w:rPr>
          <w:iCs/>
        </w:rPr>
        <w:t xml:space="preserve"> et </w:t>
      </w:r>
      <w:proofErr w:type="spellStart"/>
      <w:r w:rsidRPr="00CD0241">
        <w:rPr>
          <w:iCs/>
        </w:rPr>
        <w:t>émotionelles</w:t>
      </w:r>
      <w:proofErr w:type="spellEnd"/>
      <w:r w:rsidRPr="00CD0241">
        <w:rPr>
          <w:iCs/>
        </w:rPr>
        <w:t xml:space="preserve"> quant à la prediction de la </w:t>
      </w:r>
      <w:proofErr w:type="spellStart"/>
      <w:r w:rsidRPr="00CD0241">
        <w:rPr>
          <w:iCs/>
        </w:rPr>
        <w:t>persistance</w:t>
      </w:r>
      <w:proofErr w:type="spellEnd"/>
      <w:r w:rsidRPr="00CD0241">
        <w:rPr>
          <w:iCs/>
        </w:rPr>
        <w:t xml:space="preserve"> et de la </w:t>
      </w:r>
      <w:proofErr w:type="spellStart"/>
      <w:r w:rsidRPr="00CD0241">
        <w:rPr>
          <w:iCs/>
        </w:rPr>
        <w:t>réussite</w:t>
      </w:r>
      <w:proofErr w:type="spellEnd"/>
      <w:r w:rsidRPr="00CD0241">
        <w:rPr>
          <w:iCs/>
        </w:rPr>
        <w:t xml:space="preserve"> en sciences chez les </w:t>
      </w:r>
      <w:proofErr w:type="spellStart"/>
      <w:r w:rsidRPr="00CD0241">
        <w:rPr>
          <w:iCs/>
        </w:rPr>
        <w:t>élèves</w:t>
      </w:r>
      <w:proofErr w:type="spellEnd"/>
      <w:r w:rsidRPr="00CD0241">
        <w:rPr>
          <w:iCs/>
        </w:rPr>
        <w:t xml:space="preserve"> de </w:t>
      </w:r>
      <w:proofErr w:type="spellStart"/>
      <w:r w:rsidRPr="00CD0241">
        <w:rPr>
          <w:iCs/>
        </w:rPr>
        <w:t>sexe</w:t>
      </w:r>
      <w:proofErr w:type="spellEnd"/>
      <w:r w:rsidRPr="00CD0241">
        <w:rPr>
          <w:iCs/>
        </w:rPr>
        <w:t xml:space="preserve"> </w:t>
      </w:r>
      <w:proofErr w:type="spellStart"/>
      <w:r w:rsidRPr="00CD0241">
        <w:rPr>
          <w:iCs/>
        </w:rPr>
        <w:t>masculin</w:t>
      </w:r>
      <w:proofErr w:type="spellEnd"/>
      <w:r w:rsidRPr="00CD0241">
        <w:rPr>
          <w:iCs/>
        </w:rPr>
        <w:t xml:space="preserve"> et </w:t>
      </w:r>
      <w:proofErr w:type="spellStart"/>
      <w:r w:rsidRPr="00CD0241">
        <w:rPr>
          <w:iCs/>
        </w:rPr>
        <w:t>féminin</w:t>
      </w:r>
      <w:proofErr w:type="spellEnd"/>
      <w:r w:rsidRPr="00CD0241">
        <w:rPr>
          <w:iCs/>
        </w:rPr>
        <w:t xml:space="preserve"> </w:t>
      </w:r>
      <w:proofErr w:type="spellStart"/>
      <w:r w:rsidRPr="00CD0241">
        <w:rPr>
          <w:iCs/>
        </w:rPr>
        <w:t>transitionant</w:t>
      </w:r>
      <w:proofErr w:type="spellEnd"/>
      <w:r w:rsidRPr="00CD0241">
        <w:rPr>
          <w:iCs/>
        </w:rPr>
        <w:t xml:space="preserve"> de </w:t>
      </w:r>
      <w:proofErr w:type="spellStart"/>
      <w:r w:rsidRPr="00CD0241">
        <w:rPr>
          <w:iCs/>
        </w:rPr>
        <w:t>l'école</w:t>
      </w:r>
      <w:proofErr w:type="spellEnd"/>
      <w:r w:rsidRPr="00CD0241">
        <w:rPr>
          <w:iCs/>
        </w:rPr>
        <w:t xml:space="preserve"> </w:t>
      </w:r>
      <w:proofErr w:type="spellStart"/>
      <w:r w:rsidRPr="00CD0241">
        <w:rPr>
          <w:iCs/>
        </w:rPr>
        <w:t>secondaire</w:t>
      </w:r>
      <w:proofErr w:type="spellEnd"/>
      <w:r w:rsidRPr="00CD0241">
        <w:rPr>
          <w:iCs/>
        </w:rPr>
        <w:t xml:space="preserve"> au premier cycle </w:t>
      </w:r>
      <w:proofErr w:type="spellStart"/>
      <w:r w:rsidRPr="00CD0241">
        <w:rPr>
          <w:iCs/>
        </w:rPr>
        <w:t>universitaire</w:t>
      </w:r>
      <w:proofErr w:type="spellEnd"/>
      <w:r w:rsidRPr="00CD0241">
        <w:rPr>
          <w:iCs/>
        </w:rPr>
        <w:t>.</w:t>
      </w:r>
      <w:r w:rsidR="002E2536" w:rsidRPr="002E2536">
        <w:rPr>
          <w:iCs/>
        </w:rPr>
        <w:t xml:space="preserve"> </w:t>
      </w:r>
      <w:proofErr w:type="spellStart"/>
      <w:r w:rsidR="002E2536" w:rsidRPr="002E2536">
        <w:rPr>
          <w:iCs/>
        </w:rPr>
        <w:t>Conformément</w:t>
      </w:r>
      <w:proofErr w:type="spellEnd"/>
      <w:r w:rsidR="002E2536" w:rsidRPr="002E2536">
        <w:rPr>
          <w:iCs/>
        </w:rPr>
        <w:t xml:space="preserve"> à la </w:t>
      </w:r>
      <w:proofErr w:type="spellStart"/>
      <w:r w:rsidR="002E2536" w:rsidRPr="002E2536">
        <w:rPr>
          <w:iCs/>
        </w:rPr>
        <w:t>théorie</w:t>
      </w:r>
      <w:proofErr w:type="spellEnd"/>
      <w:r w:rsidR="002E2536" w:rsidRPr="002E2536">
        <w:rPr>
          <w:iCs/>
        </w:rPr>
        <w:t xml:space="preserve"> de </w:t>
      </w:r>
      <w:proofErr w:type="spellStart"/>
      <w:r w:rsidR="002E2536" w:rsidRPr="002E2536">
        <w:rPr>
          <w:iCs/>
        </w:rPr>
        <w:t>l</w:t>
      </w:r>
      <w:r w:rsidR="002E2536">
        <w:rPr>
          <w:iCs/>
        </w:rPr>
        <w:t>’</w:t>
      </w:r>
      <w:r w:rsidRPr="00CD0241">
        <w:rPr>
          <w:iCs/>
        </w:rPr>
        <w:t>autodétermination</w:t>
      </w:r>
      <w:proofErr w:type="spellEnd"/>
      <w:r w:rsidRPr="00CD0241">
        <w:rPr>
          <w:iCs/>
        </w:rPr>
        <w:t xml:space="preserve"> (</w:t>
      </w:r>
      <w:proofErr w:type="spellStart"/>
      <w:r w:rsidRPr="00CD0241">
        <w:rPr>
          <w:iCs/>
        </w:rPr>
        <w:t>Deci</w:t>
      </w:r>
      <w:proofErr w:type="spellEnd"/>
      <w:r w:rsidRPr="00CD0241">
        <w:rPr>
          <w:iCs/>
        </w:rPr>
        <w:t xml:space="preserve"> &amp; Ryan, 2012) et de la </w:t>
      </w:r>
      <w:proofErr w:type="spellStart"/>
      <w:r w:rsidRPr="00CD0241">
        <w:rPr>
          <w:iCs/>
        </w:rPr>
        <w:t>théorie</w:t>
      </w:r>
      <w:proofErr w:type="spellEnd"/>
      <w:r w:rsidRPr="00CD0241">
        <w:rPr>
          <w:iCs/>
        </w:rPr>
        <w:t xml:space="preserve"> de la </w:t>
      </w:r>
      <w:proofErr w:type="spellStart"/>
      <w:r w:rsidRPr="00CD0241">
        <w:rPr>
          <w:iCs/>
        </w:rPr>
        <w:t>réalisation</w:t>
      </w:r>
      <w:proofErr w:type="spellEnd"/>
      <w:r w:rsidRPr="00CD0241">
        <w:rPr>
          <w:iCs/>
        </w:rPr>
        <w:t xml:space="preserve"> des buts (Senko et al., 2011), la </w:t>
      </w:r>
      <w:proofErr w:type="spellStart"/>
      <w:r w:rsidRPr="00CD0241">
        <w:rPr>
          <w:iCs/>
        </w:rPr>
        <w:t>modélisation</w:t>
      </w:r>
      <w:proofErr w:type="spellEnd"/>
      <w:r w:rsidRPr="00CD0241">
        <w:rPr>
          <w:iCs/>
        </w:rPr>
        <w:t xml:space="preserve"> par </w:t>
      </w:r>
      <w:proofErr w:type="spellStart"/>
      <w:r w:rsidRPr="00CD0241">
        <w:rPr>
          <w:iCs/>
        </w:rPr>
        <w:t>équation</w:t>
      </w:r>
      <w:proofErr w:type="spellEnd"/>
      <w:r w:rsidRPr="00CD0241">
        <w:rPr>
          <w:iCs/>
        </w:rPr>
        <w:t xml:space="preserve"> </w:t>
      </w:r>
      <w:proofErr w:type="spellStart"/>
      <w:r w:rsidRPr="00CD0241">
        <w:rPr>
          <w:iCs/>
        </w:rPr>
        <w:t>structurelle</w:t>
      </w:r>
      <w:proofErr w:type="spellEnd"/>
      <w:r w:rsidRPr="00CD0241">
        <w:rPr>
          <w:iCs/>
        </w:rPr>
        <w:t xml:space="preserve"> </w:t>
      </w:r>
      <w:proofErr w:type="spellStart"/>
      <w:r w:rsidRPr="00CD0241">
        <w:rPr>
          <w:iCs/>
        </w:rPr>
        <w:t>basée</w:t>
      </w:r>
      <w:proofErr w:type="spellEnd"/>
      <w:r w:rsidRPr="00CD0241">
        <w:rPr>
          <w:iCs/>
        </w:rPr>
        <w:t xml:space="preserve"> </w:t>
      </w:r>
      <w:proofErr w:type="spellStart"/>
      <w:r w:rsidRPr="00CD0241">
        <w:rPr>
          <w:iCs/>
        </w:rPr>
        <w:t>sur</w:t>
      </w:r>
      <w:proofErr w:type="spellEnd"/>
      <w:r w:rsidRPr="00CD0241">
        <w:rPr>
          <w:iCs/>
        </w:rPr>
        <w:t xml:space="preserve"> les </w:t>
      </w:r>
      <w:proofErr w:type="spellStart"/>
      <w:r w:rsidRPr="00CD0241">
        <w:rPr>
          <w:iCs/>
        </w:rPr>
        <w:t>données</w:t>
      </w:r>
      <w:proofErr w:type="spellEnd"/>
      <w:r w:rsidRPr="00CD0241">
        <w:rPr>
          <w:iCs/>
        </w:rPr>
        <w:t xml:space="preserve"> de 1309 </w:t>
      </w:r>
      <w:proofErr w:type="spellStart"/>
      <w:r w:rsidRPr="00CD0241">
        <w:rPr>
          <w:iCs/>
        </w:rPr>
        <w:t>élèves</w:t>
      </w:r>
      <w:proofErr w:type="spellEnd"/>
      <w:r w:rsidRPr="00CD0241">
        <w:rPr>
          <w:iCs/>
        </w:rPr>
        <w:t xml:space="preserve"> issues de </w:t>
      </w:r>
      <w:proofErr w:type="spellStart"/>
      <w:r w:rsidRPr="00CD0241">
        <w:rPr>
          <w:iCs/>
        </w:rPr>
        <w:t>quatre</w:t>
      </w:r>
      <w:proofErr w:type="spellEnd"/>
      <w:r w:rsidRPr="00CD0241">
        <w:rPr>
          <w:iCs/>
        </w:rPr>
        <w:t xml:space="preserve"> </w:t>
      </w:r>
      <w:proofErr w:type="spellStart"/>
      <w:r w:rsidRPr="00CD0241">
        <w:rPr>
          <w:iCs/>
        </w:rPr>
        <w:t>cégeps</w:t>
      </w:r>
      <w:proofErr w:type="spellEnd"/>
      <w:r w:rsidRPr="00CD0241">
        <w:rPr>
          <w:iCs/>
        </w:rPr>
        <w:t xml:space="preserve"> </w:t>
      </w:r>
      <w:proofErr w:type="spellStart"/>
      <w:r w:rsidRPr="00CD0241">
        <w:rPr>
          <w:iCs/>
        </w:rPr>
        <w:t>anglophones</w:t>
      </w:r>
      <w:proofErr w:type="spellEnd"/>
      <w:r w:rsidRPr="00CD0241">
        <w:rPr>
          <w:iCs/>
        </w:rPr>
        <w:t xml:space="preserve"> </w:t>
      </w:r>
      <w:proofErr w:type="spellStart"/>
      <w:r w:rsidRPr="00CD0241">
        <w:rPr>
          <w:iCs/>
        </w:rPr>
        <w:t>démontre</w:t>
      </w:r>
      <w:proofErr w:type="spellEnd"/>
      <w:r w:rsidRPr="00CD0241">
        <w:rPr>
          <w:iCs/>
        </w:rPr>
        <w:t xml:space="preserve"> </w:t>
      </w:r>
      <w:proofErr w:type="spellStart"/>
      <w:r w:rsidRPr="00CD0241">
        <w:rPr>
          <w:iCs/>
        </w:rPr>
        <w:t>que</w:t>
      </w:r>
      <w:proofErr w:type="spellEnd"/>
      <w:r w:rsidRPr="00CD0241">
        <w:rPr>
          <w:iCs/>
        </w:rPr>
        <w:t xml:space="preserve"> les </w:t>
      </w:r>
      <w:proofErr w:type="spellStart"/>
      <w:r w:rsidRPr="00CD0241">
        <w:rPr>
          <w:iCs/>
        </w:rPr>
        <w:t>objectifs</w:t>
      </w:r>
      <w:proofErr w:type="spellEnd"/>
      <w:r w:rsidRPr="00CD0241">
        <w:rPr>
          <w:iCs/>
        </w:rPr>
        <w:t xml:space="preserve"> de </w:t>
      </w:r>
      <w:proofErr w:type="spellStart"/>
      <w:r w:rsidRPr="00CD0241">
        <w:rPr>
          <w:iCs/>
        </w:rPr>
        <w:t>rendement</w:t>
      </w:r>
      <w:proofErr w:type="spellEnd"/>
      <w:r w:rsidRPr="00CD0241">
        <w:rPr>
          <w:iCs/>
        </w:rPr>
        <w:t xml:space="preserve"> des </w:t>
      </w:r>
      <w:proofErr w:type="spellStart"/>
      <w:r w:rsidRPr="00CD0241">
        <w:rPr>
          <w:iCs/>
        </w:rPr>
        <w:t>élèves</w:t>
      </w:r>
      <w:proofErr w:type="spellEnd"/>
      <w:r w:rsidRPr="00CD0241">
        <w:rPr>
          <w:iCs/>
        </w:rPr>
        <w:t xml:space="preserve">, </w:t>
      </w:r>
      <w:proofErr w:type="spellStart"/>
      <w:r w:rsidRPr="00CD0241">
        <w:rPr>
          <w:iCs/>
        </w:rPr>
        <w:t>l'auto-efficacité</w:t>
      </w:r>
      <w:proofErr w:type="spellEnd"/>
      <w:r w:rsidRPr="00CD0241">
        <w:rPr>
          <w:iCs/>
        </w:rPr>
        <w:t xml:space="preserve">, et le </w:t>
      </w:r>
      <w:proofErr w:type="spellStart"/>
      <w:r w:rsidRPr="00CD0241">
        <w:rPr>
          <w:iCs/>
        </w:rPr>
        <w:t>soutien</w:t>
      </w:r>
      <w:proofErr w:type="spellEnd"/>
      <w:r w:rsidRPr="00CD0241">
        <w:rPr>
          <w:iCs/>
        </w:rPr>
        <w:t xml:space="preserve"> </w:t>
      </w:r>
      <w:proofErr w:type="spellStart"/>
      <w:r w:rsidRPr="00CD0241">
        <w:rPr>
          <w:iCs/>
        </w:rPr>
        <w:t>perçu</w:t>
      </w:r>
      <w:proofErr w:type="spellEnd"/>
      <w:r w:rsidRPr="00CD0241">
        <w:rPr>
          <w:iCs/>
        </w:rPr>
        <w:t xml:space="preserve"> de </w:t>
      </w:r>
      <w:proofErr w:type="spellStart"/>
      <w:r w:rsidRPr="00CD0241">
        <w:rPr>
          <w:iCs/>
        </w:rPr>
        <w:t>l'autonomie</w:t>
      </w:r>
      <w:proofErr w:type="spellEnd"/>
      <w:r w:rsidRPr="00CD0241">
        <w:rPr>
          <w:iCs/>
        </w:rPr>
        <w:t xml:space="preserve">, </w:t>
      </w:r>
      <w:proofErr w:type="spellStart"/>
      <w:r w:rsidRPr="00CD0241">
        <w:rPr>
          <w:iCs/>
        </w:rPr>
        <w:t>ont</w:t>
      </w:r>
      <w:proofErr w:type="spellEnd"/>
      <w:r w:rsidRPr="00CD0241">
        <w:rPr>
          <w:iCs/>
        </w:rPr>
        <w:t xml:space="preserve"> un impact </w:t>
      </w:r>
      <w:proofErr w:type="spellStart"/>
      <w:r w:rsidRPr="00CD0241">
        <w:rPr>
          <w:iCs/>
        </w:rPr>
        <w:t>envers</w:t>
      </w:r>
      <w:proofErr w:type="spellEnd"/>
      <w:r w:rsidRPr="00CD0241">
        <w:rPr>
          <w:iCs/>
        </w:rPr>
        <w:t xml:space="preserve"> la motivation </w:t>
      </w:r>
      <w:proofErr w:type="spellStart"/>
      <w:r w:rsidRPr="00CD0241">
        <w:rPr>
          <w:iCs/>
        </w:rPr>
        <w:t>intrinsèque</w:t>
      </w:r>
      <w:proofErr w:type="spellEnd"/>
      <w:r w:rsidRPr="00CD0241">
        <w:rPr>
          <w:iCs/>
        </w:rPr>
        <w:t xml:space="preserve">, les </w:t>
      </w:r>
      <w:proofErr w:type="spellStart"/>
      <w:r w:rsidRPr="00CD0241">
        <w:rPr>
          <w:iCs/>
        </w:rPr>
        <w:t>émotions</w:t>
      </w:r>
      <w:proofErr w:type="spellEnd"/>
      <w:r w:rsidRPr="00CD0241">
        <w:rPr>
          <w:iCs/>
        </w:rPr>
        <w:t xml:space="preserve">, et la </w:t>
      </w:r>
      <w:proofErr w:type="spellStart"/>
      <w:r w:rsidRPr="00CD0241">
        <w:rPr>
          <w:iCs/>
        </w:rPr>
        <w:t>réussite</w:t>
      </w:r>
      <w:proofErr w:type="spellEnd"/>
      <w:r w:rsidRPr="00CD0241">
        <w:rPr>
          <w:iCs/>
        </w:rPr>
        <w:t xml:space="preserve">, </w:t>
      </w:r>
      <w:proofErr w:type="spellStart"/>
      <w:r w:rsidRPr="00CD0241">
        <w:rPr>
          <w:iCs/>
        </w:rPr>
        <w:t>ce</w:t>
      </w:r>
      <w:proofErr w:type="spellEnd"/>
      <w:r w:rsidRPr="00CD0241">
        <w:rPr>
          <w:iCs/>
        </w:rPr>
        <w:t xml:space="preserve"> qui </w:t>
      </w:r>
      <w:proofErr w:type="spellStart"/>
      <w:r w:rsidRPr="00CD0241">
        <w:rPr>
          <w:iCs/>
        </w:rPr>
        <w:t>prédit</w:t>
      </w:r>
      <w:proofErr w:type="spellEnd"/>
      <w:r w:rsidRPr="00CD0241">
        <w:rPr>
          <w:iCs/>
        </w:rPr>
        <w:t xml:space="preserve"> à son tour la </w:t>
      </w:r>
      <w:proofErr w:type="spellStart"/>
      <w:r w:rsidRPr="00CD0241">
        <w:rPr>
          <w:iCs/>
        </w:rPr>
        <w:t>persistance</w:t>
      </w:r>
      <w:proofErr w:type="spellEnd"/>
      <w:r w:rsidRPr="00CD0241">
        <w:rPr>
          <w:iCs/>
        </w:rPr>
        <w:t xml:space="preserve"> </w:t>
      </w:r>
      <w:proofErr w:type="spellStart"/>
      <w:r w:rsidRPr="00CD0241">
        <w:rPr>
          <w:iCs/>
        </w:rPr>
        <w:t>dans</w:t>
      </w:r>
      <w:proofErr w:type="spellEnd"/>
      <w:r w:rsidRPr="00CD0241">
        <w:rPr>
          <w:iCs/>
        </w:rPr>
        <w:t xml:space="preserve"> le </w:t>
      </w:r>
      <w:proofErr w:type="spellStart"/>
      <w:r w:rsidRPr="00CD0241">
        <w:rPr>
          <w:iCs/>
        </w:rPr>
        <w:t>domaine</w:t>
      </w:r>
      <w:proofErr w:type="spellEnd"/>
      <w:r w:rsidRPr="00CD0241">
        <w:rPr>
          <w:iCs/>
        </w:rPr>
        <w:t xml:space="preserve"> de</w:t>
      </w:r>
      <w:r w:rsidR="002E2536">
        <w:rPr>
          <w:iCs/>
        </w:rPr>
        <w:t>s</w:t>
      </w:r>
      <w:r w:rsidRPr="00CD0241">
        <w:rPr>
          <w:iCs/>
        </w:rPr>
        <w:t xml:space="preserve"> science</w:t>
      </w:r>
      <w:r w:rsidR="002E2536">
        <w:rPr>
          <w:iCs/>
        </w:rPr>
        <w:t>s</w:t>
      </w:r>
      <w:r w:rsidRPr="00CD0241">
        <w:rPr>
          <w:iCs/>
        </w:rPr>
        <w:t>.</w:t>
      </w:r>
    </w:p>
    <w:p w14:paraId="63BC93D1" w14:textId="77777777" w:rsidR="00AD7C10" w:rsidRDefault="00AD7C10">
      <w:pPr>
        <w:rPr>
          <w:b/>
        </w:rPr>
      </w:pPr>
      <w:r>
        <w:rPr>
          <w:b/>
          <w:i/>
          <w:iCs/>
        </w:rPr>
        <w:br w:type="page"/>
      </w:r>
    </w:p>
    <w:p w14:paraId="58A9EC81" w14:textId="4E95CBE9" w:rsidR="00DE6202" w:rsidRPr="00CD0241" w:rsidRDefault="00DE6202" w:rsidP="00AD7C10">
      <w:pPr>
        <w:pStyle w:val="Heading3"/>
        <w:spacing w:line="240" w:lineRule="auto"/>
        <w:contextualSpacing/>
        <w:jc w:val="center"/>
        <w:rPr>
          <w:b/>
          <w:i w:val="0"/>
          <w:iCs w:val="0"/>
        </w:rPr>
      </w:pPr>
      <w:r w:rsidRPr="00CD0241">
        <w:rPr>
          <w:b/>
          <w:i w:val="0"/>
          <w:iCs w:val="0"/>
          <w:lang w:val="en-US"/>
        </w:rPr>
        <w:lastRenderedPageBreak/>
        <w:t xml:space="preserve">Exploring Student Persistence in STEM Programs: </w:t>
      </w:r>
      <w:r w:rsidRPr="00CD0241">
        <w:rPr>
          <w:b/>
          <w:i w:val="0"/>
          <w:iCs w:val="0"/>
        </w:rPr>
        <w:t>A Motivational Model</w:t>
      </w:r>
    </w:p>
    <w:p w14:paraId="547FA186" w14:textId="77777777" w:rsidR="00AD7C10" w:rsidRDefault="00AD7C10" w:rsidP="00AD7C10">
      <w:pPr>
        <w:pStyle w:val="BodyTextIndent"/>
        <w:spacing w:line="240" w:lineRule="auto"/>
        <w:contextualSpacing/>
        <w:rPr>
          <w:lang w:val="en-US"/>
        </w:rPr>
      </w:pPr>
    </w:p>
    <w:p w14:paraId="041674FB" w14:textId="2A5E7C0F" w:rsidR="00C130B5" w:rsidRDefault="00544C97" w:rsidP="00AD7C10">
      <w:pPr>
        <w:pStyle w:val="BodyTextIndent"/>
        <w:spacing w:line="240" w:lineRule="auto"/>
        <w:contextualSpacing/>
        <w:rPr>
          <w:lang w:val="en-US"/>
        </w:rPr>
      </w:pPr>
      <w:r>
        <w:rPr>
          <w:lang w:val="en-US"/>
        </w:rPr>
        <w:t xml:space="preserve">Student persistence in </w:t>
      </w:r>
      <w:r w:rsidR="00036652">
        <w:rPr>
          <w:lang w:val="en-US"/>
        </w:rPr>
        <w:t>STEM (Science, Technology, Engineering, and Mathematics)</w:t>
      </w:r>
      <w:r>
        <w:rPr>
          <w:lang w:val="en-US"/>
        </w:rPr>
        <w:t xml:space="preserve"> </w:t>
      </w:r>
      <w:r w:rsidR="00036652">
        <w:rPr>
          <w:lang w:val="en-US"/>
        </w:rPr>
        <w:t xml:space="preserve">fields </w:t>
      </w:r>
      <w:r>
        <w:rPr>
          <w:lang w:val="en-US"/>
        </w:rPr>
        <w:t xml:space="preserve">deserves close attention given the alarming attrition rates from such programs–especially for women–as well as current </w:t>
      </w:r>
      <w:r w:rsidR="007F0B2E">
        <w:rPr>
          <w:lang w:val="en-US"/>
        </w:rPr>
        <w:t xml:space="preserve">issues regarding the staffing and </w:t>
      </w:r>
      <w:r w:rsidR="007F0B2E" w:rsidRPr="00867E70">
        <w:rPr>
          <w:lang w:val="en-US"/>
        </w:rPr>
        <w:t xml:space="preserve">turnover </w:t>
      </w:r>
      <w:r w:rsidRPr="00867E70">
        <w:rPr>
          <w:lang w:val="en-US"/>
        </w:rPr>
        <w:t>of science teachers in various regions of North America (Ingersoll</w:t>
      </w:r>
      <w:r w:rsidR="007F0B2E" w:rsidRPr="00867E70">
        <w:rPr>
          <w:lang w:val="en-US"/>
        </w:rPr>
        <w:t xml:space="preserve"> &amp; May, 2012; </w:t>
      </w:r>
      <w:r w:rsidR="00B71BDE" w:rsidRPr="00CD0241">
        <w:rPr>
          <w:rFonts w:eastAsiaTheme="minorHAnsi"/>
        </w:rPr>
        <w:t xml:space="preserve">Ingersoll &amp; </w:t>
      </w:r>
      <w:proofErr w:type="spellStart"/>
      <w:r w:rsidR="00B71BDE" w:rsidRPr="00CD0241">
        <w:rPr>
          <w:rFonts w:eastAsiaTheme="minorHAnsi"/>
        </w:rPr>
        <w:t>Perda</w:t>
      </w:r>
      <w:proofErr w:type="spellEnd"/>
      <w:r w:rsidR="00B71BDE" w:rsidRPr="00CD0241">
        <w:rPr>
          <w:rFonts w:eastAsiaTheme="minorHAnsi"/>
        </w:rPr>
        <w:t>, 2010</w:t>
      </w:r>
      <w:r w:rsidRPr="00867E70">
        <w:rPr>
          <w:lang w:val="en-US"/>
        </w:rPr>
        <w:t xml:space="preserve">). </w:t>
      </w:r>
      <w:r w:rsidR="000F5351" w:rsidRPr="00867E70">
        <w:rPr>
          <w:lang w:val="en-US"/>
        </w:rPr>
        <w:t xml:space="preserve"> Over</w:t>
      </w:r>
      <w:r w:rsidRPr="00867E70">
        <w:t xml:space="preserve"> the past twenty years the number of college</w:t>
      </w:r>
      <w:r w:rsidR="00AA113A" w:rsidRPr="00867E70">
        <w:t>-</w:t>
      </w:r>
      <w:r w:rsidRPr="00867E70">
        <w:t xml:space="preserve">bound students interested in </w:t>
      </w:r>
      <w:r w:rsidR="005F7840" w:rsidRPr="00867E70">
        <w:t>STE</w:t>
      </w:r>
      <w:bookmarkStart w:id="0" w:name="_GoBack"/>
      <w:bookmarkEnd w:id="0"/>
      <w:r w:rsidR="005F7840" w:rsidRPr="00867E70">
        <w:t xml:space="preserve">M </w:t>
      </w:r>
      <w:r w:rsidRPr="00867E70">
        <w:t xml:space="preserve">majors has dropped by 50% and </w:t>
      </w:r>
      <w:r w:rsidR="005F7840" w:rsidRPr="00867E70">
        <w:t>approximately</w:t>
      </w:r>
      <w:r w:rsidRPr="00867E70">
        <w:t xml:space="preserve"> half of the students who do enter </w:t>
      </w:r>
      <w:r w:rsidR="00055948" w:rsidRPr="00867E70">
        <w:t xml:space="preserve">STEM </w:t>
      </w:r>
      <w:r w:rsidRPr="00867E70">
        <w:t>programs transfer out before completing their degree (</w:t>
      </w:r>
      <w:r w:rsidR="00C87576" w:rsidRPr="00867E70">
        <w:t>Chen</w:t>
      </w:r>
      <w:r w:rsidR="005F7840" w:rsidRPr="00867E70">
        <w:t>, 2013</w:t>
      </w:r>
      <w:r w:rsidR="005F7844">
        <w:t xml:space="preserve">; </w:t>
      </w:r>
      <w:proofErr w:type="spellStart"/>
      <w:r w:rsidR="005F7844">
        <w:t>Daempfle</w:t>
      </w:r>
      <w:proofErr w:type="spellEnd"/>
      <w:r w:rsidR="005F7844">
        <w:t>, 2003</w:t>
      </w:r>
      <w:r w:rsidRPr="00867E70">
        <w:t>)</w:t>
      </w:r>
      <w:r w:rsidR="00055948" w:rsidRPr="00867E70">
        <w:t xml:space="preserve">. </w:t>
      </w:r>
      <w:r>
        <w:t xml:space="preserve">The physical sciences and engineering are at particular risk, with declines in the number of earned </w:t>
      </w:r>
      <w:r w:rsidR="00C130B5">
        <w:t xml:space="preserve">bachelor’s degrees and </w:t>
      </w:r>
      <w:r>
        <w:t>doctorates in these fields in the past decade (</w:t>
      </w:r>
      <w:r w:rsidR="00C130B5">
        <w:t>National Science Foundation, 20</w:t>
      </w:r>
      <w:r w:rsidR="00C15A82">
        <w:t>13</w:t>
      </w:r>
      <w:r w:rsidR="00521690">
        <w:t xml:space="preserve">; </w:t>
      </w:r>
      <w:proofErr w:type="spellStart"/>
      <w:r w:rsidR="00521690">
        <w:rPr>
          <w:lang w:val="en-US"/>
        </w:rPr>
        <w:t>Xie</w:t>
      </w:r>
      <w:proofErr w:type="spellEnd"/>
      <w:r w:rsidR="00521690">
        <w:rPr>
          <w:lang w:val="en-US"/>
        </w:rPr>
        <w:t xml:space="preserve"> </w:t>
      </w:r>
      <w:r w:rsidR="00521690" w:rsidRPr="00521690">
        <w:rPr>
          <w:lang w:val="en-US"/>
        </w:rPr>
        <w:t xml:space="preserve">&amp; </w:t>
      </w:r>
      <w:proofErr w:type="spellStart"/>
      <w:r w:rsidR="00521690" w:rsidRPr="00521690">
        <w:rPr>
          <w:lang w:val="en-US"/>
        </w:rPr>
        <w:t>A</w:t>
      </w:r>
      <w:r w:rsidR="00521690">
        <w:rPr>
          <w:lang w:val="en-US"/>
        </w:rPr>
        <w:t>chen</w:t>
      </w:r>
      <w:proofErr w:type="spellEnd"/>
      <w:r w:rsidR="00521690">
        <w:rPr>
          <w:lang w:val="en-US"/>
        </w:rPr>
        <w:t xml:space="preserve">, </w:t>
      </w:r>
      <w:r w:rsidR="00521690" w:rsidRPr="00521690">
        <w:rPr>
          <w:lang w:val="en-US"/>
        </w:rPr>
        <w:t>2009</w:t>
      </w:r>
      <w:r>
        <w:t xml:space="preserve">). </w:t>
      </w:r>
      <w:r w:rsidR="0015052A" w:rsidRPr="0015052A">
        <w:rPr>
          <w:iCs/>
          <w:lang w:val="en-US"/>
        </w:rPr>
        <w:t xml:space="preserve"> </w:t>
      </w:r>
      <w:r w:rsidR="0015052A" w:rsidRPr="006558EB">
        <w:rPr>
          <w:iCs/>
          <w:lang w:val="en-US"/>
        </w:rPr>
        <w:t>Research has found a significant influence of classroom factors (e.g., student</w:t>
      </w:r>
      <w:r w:rsidR="00AA113A">
        <w:rPr>
          <w:iCs/>
          <w:lang w:val="en-US"/>
        </w:rPr>
        <w:t>-</w:t>
      </w:r>
      <w:r w:rsidR="0015052A" w:rsidRPr="006558EB">
        <w:rPr>
          <w:iCs/>
          <w:lang w:val="en-US"/>
        </w:rPr>
        <w:t>teacher interaction, pedagogy, classroom culture;</w:t>
      </w:r>
      <w:r w:rsidR="0015052A" w:rsidRPr="006558EB">
        <w:t xml:space="preserve"> </w:t>
      </w:r>
      <w:r w:rsidR="0015052A" w:rsidRPr="006558EB">
        <w:rPr>
          <w:iCs/>
        </w:rPr>
        <w:t>Seymour &amp; Hewitt, 1997; Tinto, 19</w:t>
      </w:r>
      <w:r w:rsidR="00E0624C">
        <w:rPr>
          <w:iCs/>
        </w:rPr>
        <w:t>9</w:t>
      </w:r>
      <w:r w:rsidR="0015052A" w:rsidRPr="006558EB">
        <w:rPr>
          <w:iCs/>
        </w:rPr>
        <w:t>7</w:t>
      </w:r>
      <w:r w:rsidR="0015052A" w:rsidRPr="006558EB">
        <w:rPr>
          <w:iCs/>
          <w:lang w:val="en-US"/>
        </w:rPr>
        <w:t xml:space="preserve">) as well as </w:t>
      </w:r>
      <w:r w:rsidR="00C4471E">
        <w:rPr>
          <w:iCs/>
          <w:lang w:val="en-US"/>
        </w:rPr>
        <w:t>individual psychosocial</w:t>
      </w:r>
      <w:r w:rsidR="0015052A" w:rsidRPr="006558EB">
        <w:rPr>
          <w:iCs/>
          <w:lang w:val="en-US"/>
        </w:rPr>
        <w:t xml:space="preserve"> factors within the student (e.g., motivation, achievement goals, self</w:t>
      </w:r>
      <w:r w:rsidR="00AA113A">
        <w:rPr>
          <w:iCs/>
          <w:lang w:val="en-US"/>
        </w:rPr>
        <w:t>-</w:t>
      </w:r>
      <w:r w:rsidR="0015052A" w:rsidRPr="006558EB">
        <w:rPr>
          <w:iCs/>
          <w:lang w:val="en-US"/>
        </w:rPr>
        <w:t>efficacy) in determining whether students pursue their career aspirations (</w:t>
      </w:r>
      <w:r w:rsidR="00E0624C">
        <w:rPr>
          <w:iCs/>
          <w:lang w:val="en-US"/>
        </w:rPr>
        <w:t xml:space="preserve">e.g., </w:t>
      </w:r>
      <w:proofErr w:type="spellStart"/>
      <w:r w:rsidR="0015052A" w:rsidRPr="006558EB">
        <w:rPr>
          <w:iCs/>
          <w:lang w:val="en-US"/>
        </w:rPr>
        <w:t>Vallerand</w:t>
      </w:r>
      <w:proofErr w:type="spellEnd"/>
      <w:r w:rsidR="0015052A" w:rsidRPr="006558EB">
        <w:rPr>
          <w:iCs/>
          <w:lang w:val="en-US"/>
        </w:rPr>
        <w:t xml:space="preserve">, Fortier, &amp; </w:t>
      </w:r>
      <w:proofErr w:type="spellStart"/>
      <w:r w:rsidR="0015052A" w:rsidRPr="006558EB">
        <w:rPr>
          <w:iCs/>
          <w:lang w:val="en-US"/>
        </w:rPr>
        <w:t>Guay</w:t>
      </w:r>
      <w:proofErr w:type="spellEnd"/>
      <w:r w:rsidR="0015052A" w:rsidRPr="006558EB">
        <w:rPr>
          <w:iCs/>
          <w:lang w:val="en-US"/>
        </w:rPr>
        <w:t>, 1997).</w:t>
      </w:r>
      <w:r w:rsidR="0015052A">
        <w:rPr>
          <w:iCs/>
          <w:lang w:val="en-US"/>
        </w:rPr>
        <w:t xml:space="preserve"> </w:t>
      </w:r>
      <w:r w:rsidR="0015052A">
        <w:t xml:space="preserve">The present study aims at understanding the factors that influence students’ decisions to pursue their interests in the sciences beyond high school to </w:t>
      </w:r>
      <w:r w:rsidR="00055948" w:rsidRPr="007D36EB">
        <w:t xml:space="preserve">CEGEP (i.e., junior college, see </w:t>
      </w:r>
      <w:r w:rsidR="00BB6746">
        <w:t>“</w:t>
      </w:r>
      <w:r w:rsidR="00055948" w:rsidRPr="00BB6746">
        <w:t>Quebec’s CEGEP System</w:t>
      </w:r>
      <w:r w:rsidR="00BB6746" w:rsidRPr="00CD0241">
        <w:t>”</w:t>
      </w:r>
      <w:r w:rsidR="00055948" w:rsidRPr="00BB6746">
        <w:t>)</w:t>
      </w:r>
      <w:r w:rsidR="0015052A" w:rsidRPr="007D36EB">
        <w:t xml:space="preserve"> </w:t>
      </w:r>
      <w:r w:rsidR="0015052A">
        <w:t>by examining the role of a unique subset of variables (i.e., perceptions of the learning environment, self</w:t>
      </w:r>
      <w:r w:rsidR="00AA113A">
        <w:t>-</w:t>
      </w:r>
      <w:r w:rsidR="0015052A">
        <w:t>efficacy, achievement goals, affect, motivation</w:t>
      </w:r>
      <w:r w:rsidR="008F5741">
        <w:t>,</w:t>
      </w:r>
      <w:r w:rsidR="0015052A">
        <w:t xml:space="preserve"> and achievement) using structural equation modeling.</w:t>
      </w:r>
    </w:p>
    <w:p w14:paraId="263BC5B9" w14:textId="03D2507F" w:rsidR="00833953" w:rsidRDefault="00833953" w:rsidP="00AD7C10">
      <w:pPr>
        <w:pStyle w:val="Header"/>
        <w:tabs>
          <w:tab w:val="clear" w:pos="4320"/>
          <w:tab w:val="clear" w:pos="8640"/>
        </w:tabs>
        <w:ind w:firstLine="720"/>
        <w:contextualSpacing/>
        <w:rPr>
          <w:color w:val="000000"/>
          <w:szCs w:val="28"/>
        </w:rPr>
      </w:pPr>
      <w:r>
        <w:t xml:space="preserve">Traditionally, research about student persistence has focused on the causes of school dropout. However, many students change programs without actually leaving school. Much less research has examined student choices or decisions to change their academic or career aspirations. The area of science is particularly interesting since student attrition rates remain high from science and engineering programs despite the fact that the demand for qualified scientists and engineers outweighs the number of available individuals (Hall, Dickerson, </w:t>
      </w:r>
      <w:proofErr w:type="spellStart"/>
      <w:r>
        <w:t>Batts</w:t>
      </w:r>
      <w:proofErr w:type="spellEnd"/>
      <w:r>
        <w:t xml:space="preserve">, Kauffmann, &amp; </w:t>
      </w:r>
      <w:proofErr w:type="spellStart"/>
      <w:r>
        <w:t>Bosse</w:t>
      </w:r>
      <w:proofErr w:type="spellEnd"/>
      <w:r>
        <w:t xml:space="preserve">, 2011). Furthermore, examining student persistence during the transition from high school to CEGEP is especially important given the fact that it is during this period that many capable students decide to abandon their plans to pursue their studies in the sciences. Finally, examining the situation in Quebec is particularly relevant given that </w:t>
      </w:r>
      <w:r>
        <w:rPr>
          <w:color w:val="000000"/>
          <w:szCs w:val="28"/>
        </w:rPr>
        <w:t xml:space="preserve">Quebec universities graduate fewer science graduates than universities in member countries of the Organization for Economic Cooperation and </w:t>
      </w:r>
      <w:r w:rsidRPr="00867E70">
        <w:rPr>
          <w:color w:val="000000"/>
          <w:szCs w:val="28"/>
        </w:rPr>
        <w:t>Development (</w:t>
      </w:r>
      <w:proofErr w:type="spellStart"/>
      <w:r w:rsidRPr="00867E70">
        <w:rPr>
          <w:color w:val="000000"/>
          <w:szCs w:val="28"/>
        </w:rPr>
        <w:t>Baillargeon</w:t>
      </w:r>
      <w:proofErr w:type="spellEnd"/>
      <w:r w:rsidRPr="00867E70">
        <w:t xml:space="preserve"> et al.</w:t>
      </w:r>
      <w:r w:rsidRPr="00867E70">
        <w:rPr>
          <w:color w:val="000000"/>
          <w:szCs w:val="28"/>
        </w:rPr>
        <w:t>, 2001</w:t>
      </w:r>
      <w:r>
        <w:rPr>
          <w:color w:val="000000"/>
          <w:szCs w:val="28"/>
        </w:rPr>
        <w:t>).</w:t>
      </w:r>
      <w:r w:rsidR="00ED358D">
        <w:rPr>
          <w:color w:val="000000"/>
          <w:szCs w:val="28"/>
        </w:rPr>
        <w:t xml:space="preserve"> </w:t>
      </w:r>
    </w:p>
    <w:p w14:paraId="3F648166" w14:textId="77777777" w:rsidR="00AD7C10" w:rsidRDefault="00AD7C10" w:rsidP="00AD7C10">
      <w:pPr>
        <w:pStyle w:val="Header"/>
        <w:tabs>
          <w:tab w:val="clear" w:pos="4320"/>
          <w:tab w:val="clear" w:pos="8640"/>
        </w:tabs>
        <w:ind w:firstLine="720"/>
        <w:contextualSpacing/>
        <w:rPr>
          <w:b/>
          <w:bCs/>
          <w:iCs/>
          <w:highlight w:val="yellow"/>
        </w:rPr>
      </w:pPr>
    </w:p>
    <w:p w14:paraId="6C928032" w14:textId="20AF56EF" w:rsidR="00D00292" w:rsidRPr="00CD0241" w:rsidRDefault="00544C97" w:rsidP="00AD7C10">
      <w:pPr>
        <w:pStyle w:val="Header"/>
        <w:tabs>
          <w:tab w:val="clear" w:pos="4320"/>
          <w:tab w:val="clear" w:pos="8640"/>
        </w:tabs>
        <w:contextualSpacing/>
        <w:rPr>
          <w:bCs/>
          <w:iCs/>
        </w:rPr>
      </w:pPr>
      <w:r w:rsidRPr="00CD0241">
        <w:rPr>
          <w:b/>
          <w:bCs/>
          <w:iCs/>
        </w:rPr>
        <w:t>Quebec’s CEGEP System</w:t>
      </w:r>
    </w:p>
    <w:p w14:paraId="0DC4F93A" w14:textId="77777777" w:rsidR="00AD7C10" w:rsidRDefault="00AD7C10" w:rsidP="00AD7C10">
      <w:pPr>
        <w:pStyle w:val="Header"/>
        <w:tabs>
          <w:tab w:val="clear" w:pos="4320"/>
          <w:tab w:val="clear" w:pos="8640"/>
        </w:tabs>
        <w:ind w:firstLine="720"/>
        <w:contextualSpacing/>
        <w:rPr>
          <w:bCs/>
        </w:rPr>
      </w:pPr>
    </w:p>
    <w:p w14:paraId="6F60CA20" w14:textId="7BF0B0D7" w:rsidR="00544C97" w:rsidRDefault="00544C97" w:rsidP="00AD7C10">
      <w:pPr>
        <w:pStyle w:val="Header"/>
        <w:tabs>
          <w:tab w:val="clear" w:pos="4320"/>
          <w:tab w:val="clear" w:pos="8640"/>
        </w:tabs>
        <w:ind w:firstLine="720"/>
        <w:contextualSpacing/>
      </w:pPr>
      <w:r w:rsidRPr="00CD0241">
        <w:rPr>
          <w:bCs/>
        </w:rPr>
        <w:t xml:space="preserve">The term CEGEP is an acronym for </w:t>
      </w:r>
      <w:proofErr w:type="spellStart"/>
      <w:r w:rsidR="00DF03E8" w:rsidRPr="00CD0241">
        <w:rPr>
          <w:bCs/>
          <w:i/>
        </w:rPr>
        <w:t>c</w:t>
      </w:r>
      <w:r w:rsidRPr="00CD0241">
        <w:rPr>
          <w:bCs/>
          <w:i/>
        </w:rPr>
        <w:t>ollège</w:t>
      </w:r>
      <w:proofErr w:type="spellEnd"/>
      <w:r w:rsidRPr="00CD0241">
        <w:rPr>
          <w:bCs/>
          <w:i/>
        </w:rPr>
        <w:t xml:space="preserve"> </w:t>
      </w:r>
      <w:proofErr w:type="spellStart"/>
      <w:r w:rsidRPr="00CD0241">
        <w:rPr>
          <w:bCs/>
          <w:i/>
        </w:rPr>
        <w:t>d’</w:t>
      </w:r>
      <w:r w:rsidR="00DF03E8" w:rsidRPr="00CD0241">
        <w:rPr>
          <w:bCs/>
          <w:i/>
        </w:rPr>
        <w:t>e</w:t>
      </w:r>
      <w:r w:rsidRPr="00CD0241">
        <w:rPr>
          <w:bCs/>
          <w:i/>
        </w:rPr>
        <w:t>nseignement</w:t>
      </w:r>
      <w:proofErr w:type="spellEnd"/>
      <w:r w:rsidRPr="00CD0241">
        <w:rPr>
          <w:bCs/>
          <w:i/>
        </w:rPr>
        <w:t xml:space="preserve"> </w:t>
      </w:r>
      <w:proofErr w:type="spellStart"/>
      <w:r w:rsidR="00DF03E8" w:rsidRPr="00CD0241">
        <w:rPr>
          <w:bCs/>
          <w:i/>
        </w:rPr>
        <w:t>g</w:t>
      </w:r>
      <w:r w:rsidRPr="00CD0241">
        <w:rPr>
          <w:bCs/>
          <w:i/>
        </w:rPr>
        <w:t>énéral</w:t>
      </w:r>
      <w:proofErr w:type="spellEnd"/>
      <w:r w:rsidRPr="00CD0241">
        <w:rPr>
          <w:bCs/>
          <w:i/>
        </w:rPr>
        <w:t xml:space="preserve"> </w:t>
      </w:r>
      <w:proofErr w:type="gramStart"/>
      <w:r w:rsidRPr="00CD0241">
        <w:rPr>
          <w:bCs/>
          <w:i/>
        </w:rPr>
        <w:t>et</w:t>
      </w:r>
      <w:proofErr w:type="gramEnd"/>
      <w:r w:rsidRPr="00CD0241">
        <w:rPr>
          <w:bCs/>
          <w:i/>
        </w:rPr>
        <w:t xml:space="preserve"> </w:t>
      </w:r>
      <w:proofErr w:type="spellStart"/>
      <w:r w:rsidR="00DF03E8" w:rsidRPr="00CD0241">
        <w:rPr>
          <w:bCs/>
          <w:i/>
        </w:rPr>
        <w:t>p</w:t>
      </w:r>
      <w:r w:rsidRPr="00CD0241">
        <w:rPr>
          <w:bCs/>
          <w:i/>
        </w:rPr>
        <w:t>rofessionnel</w:t>
      </w:r>
      <w:proofErr w:type="spellEnd"/>
      <w:r w:rsidR="00DF03E8">
        <w:rPr>
          <w:bCs/>
          <w:i/>
        </w:rPr>
        <w:t xml:space="preserve"> </w:t>
      </w:r>
      <w:r w:rsidR="00DF03E8" w:rsidRPr="00CD0241">
        <w:rPr>
          <w:bCs/>
        </w:rPr>
        <w:t>(</w:t>
      </w:r>
      <w:r w:rsidR="00DF03E8">
        <w:rPr>
          <w:bCs/>
        </w:rPr>
        <w:t>C</w:t>
      </w:r>
      <w:r w:rsidR="00DF03E8" w:rsidRPr="00CD0241">
        <w:rPr>
          <w:bCs/>
        </w:rPr>
        <w:t>ollege</w:t>
      </w:r>
      <w:r w:rsidR="00DF03E8">
        <w:rPr>
          <w:bCs/>
        </w:rPr>
        <w:t xml:space="preserve"> of General and Professional E</w:t>
      </w:r>
      <w:r w:rsidR="00DF03E8" w:rsidRPr="00CD0241">
        <w:rPr>
          <w:bCs/>
        </w:rPr>
        <w:t>ducation)</w:t>
      </w:r>
      <w:r w:rsidRPr="00CD0241">
        <w:rPr>
          <w:bCs/>
        </w:rPr>
        <w:t xml:space="preserve">. A </w:t>
      </w:r>
      <w:proofErr w:type="spellStart"/>
      <w:r w:rsidRPr="00CD0241">
        <w:rPr>
          <w:i/>
        </w:rPr>
        <w:t>Diplôme</w:t>
      </w:r>
      <w:proofErr w:type="spellEnd"/>
      <w:r w:rsidRPr="00CD0241">
        <w:rPr>
          <w:i/>
        </w:rPr>
        <w:t xml:space="preserve"> </w:t>
      </w:r>
      <w:proofErr w:type="spellStart"/>
      <w:r w:rsidRPr="00CD0241">
        <w:rPr>
          <w:i/>
        </w:rPr>
        <w:t>d'</w:t>
      </w:r>
      <w:r w:rsidR="00DF03E8" w:rsidRPr="00CD0241">
        <w:rPr>
          <w:i/>
        </w:rPr>
        <w:t>e</w:t>
      </w:r>
      <w:r w:rsidRPr="00CD0241">
        <w:rPr>
          <w:i/>
        </w:rPr>
        <w:t>tudes</w:t>
      </w:r>
      <w:proofErr w:type="spellEnd"/>
      <w:r w:rsidRPr="00CD0241">
        <w:rPr>
          <w:i/>
        </w:rPr>
        <w:t xml:space="preserve"> </w:t>
      </w:r>
      <w:proofErr w:type="spellStart"/>
      <w:r w:rsidR="00DF03E8" w:rsidRPr="00CD0241">
        <w:rPr>
          <w:i/>
        </w:rPr>
        <w:t>c</w:t>
      </w:r>
      <w:r w:rsidRPr="00CD0241">
        <w:rPr>
          <w:i/>
        </w:rPr>
        <w:t>ollégiales</w:t>
      </w:r>
      <w:proofErr w:type="spellEnd"/>
      <w:r w:rsidR="00DF03E8">
        <w:t xml:space="preserve"> (DEC; Diploma of College Studies</w:t>
      </w:r>
      <w:r w:rsidRPr="00CD0241">
        <w:t>)</w:t>
      </w:r>
      <w:r w:rsidR="00562BE1" w:rsidRPr="00CD0241">
        <w:t xml:space="preserve"> </w:t>
      </w:r>
      <w:r w:rsidRPr="00CD0241">
        <w:rPr>
          <w:bCs/>
        </w:rPr>
        <w:t>is a requirement for all Quebec students who wish to pursue subsequent studies in Quebec universities. Students are admitted to the science programs at CEGEP on the basis of their performance in high school mathematics, chemistry</w:t>
      </w:r>
      <w:r w:rsidR="007F169D" w:rsidRPr="00CD0241">
        <w:rPr>
          <w:bCs/>
        </w:rPr>
        <w:t>,</w:t>
      </w:r>
      <w:r w:rsidRPr="00CD0241">
        <w:rPr>
          <w:bCs/>
        </w:rPr>
        <w:t xml:space="preserve"> and physics courses. Typically, they must have an average of at least 70 to 80 percent in their high school science courses in order to be accepted into the CEGEP science program. Because of this stringent requirement, CEGEP science students are often the highest performing students from Quebec high schools.</w:t>
      </w:r>
      <w:r w:rsidR="00562BE1" w:rsidRPr="00CD0241">
        <w:t xml:space="preserve"> </w:t>
      </w:r>
      <w:r w:rsidRPr="00CD0241">
        <w:t xml:space="preserve">Examining newly admitted CEGEP students is particularly relevant given that it is during the transition from high school to university that </w:t>
      </w:r>
      <w:r w:rsidR="00562BE1" w:rsidRPr="00CD0241">
        <w:t>approximately half</w:t>
      </w:r>
      <w:r w:rsidRPr="00CD0241">
        <w:t xml:space="preserve"> of science</w:t>
      </w:r>
      <w:r w:rsidR="00AA113A">
        <w:t>-</w:t>
      </w:r>
      <w:r w:rsidRPr="00CD0241">
        <w:t>bound students decide to leave the sciences and switch to non</w:t>
      </w:r>
      <w:r w:rsidR="00AA113A">
        <w:t>-</w:t>
      </w:r>
      <w:r w:rsidRPr="00CD0241">
        <w:t>science majors</w:t>
      </w:r>
      <w:r w:rsidR="00562BE1" w:rsidRPr="00CD0241">
        <w:t xml:space="preserve">, with </w:t>
      </w:r>
      <w:r w:rsidRPr="00CD0241">
        <w:t xml:space="preserve">the greatest </w:t>
      </w:r>
      <w:r w:rsidRPr="00CD0241">
        <w:lastRenderedPageBreak/>
        <w:t>loss of potential science students occurs just prior to, or shortly after, enrolment in college (</w:t>
      </w:r>
      <w:proofErr w:type="spellStart"/>
      <w:r w:rsidRPr="00CD0241">
        <w:t>Daempfle</w:t>
      </w:r>
      <w:proofErr w:type="spellEnd"/>
      <w:r w:rsidRPr="00CD0241">
        <w:t>, 200</w:t>
      </w:r>
      <w:r w:rsidR="00875EE3">
        <w:t>3</w:t>
      </w:r>
      <w:r w:rsidR="00562BE1" w:rsidRPr="00CD0241">
        <w:t xml:space="preserve">; </w:t>
      </w:r>
      <w:proofErr w:type="spellStart"/>
      <w:r w:rsidR="00562BE1" w:rsidRPr="00CD0241">
        <w:rPr>
          <w:color w:val="000000"/>
          <w:szCs w:val="28"/>
        </w:rPr>
        <w:t>Rosenfield</w:t>
      </w:r>
      <w:proofErr w:type="spellEnd"/>
      <w:r w:rsidR="00562BE1" w:rsidRPr="00CD0241">
        <w:rPr>
          <w:color w:val="000000"/>
          <w:szCs w:val="28"/>
        </w:rPr>
        <w:t xml:space="preserve"> et al., 2005</w:t>
      </w:r>
      <w:r w:rsidRPr="00CD0241">
        <w:t xml:space="preserve">). </w:t>
      </w:r>
      <w:r w:rsidR="00C15A82" w:rsidRPr="00CD0241">
        <w:rPr>
          <w:color w:val="000000"/>
          <w:szCs w:val="28"/>
        </w:rPr>
        <w:t>This finding is consistent with research showing that at every stage in the educational system, student interest in science and mathematics declines, especially amongst females (</w:t>
      </w:r>
      <w:r w:rsidR="00A57FDC">
        <w:rPr>
          <w:color w:val="000000"/>
          <w:szCs w:val="28"/>
        </w:rPr>
        <w:t xml:space="preserve">e.g., </w:t>
      </w:r>
      <w:proofErr w:type="spellStart"/>
      <w:r w:rsidR="00C15A82" w:rsidRPr="00CD0241">
        <w:rPr>
          <w:color w:val="000000"/>
          <w:szCs w:val="28"/>
        </w:rPr>
        <w:t>Riegle</w:t>
      </w:r>
      <w:proofErr w:type="spellEnd"/>
      <w:r w:rsidR="00AA113A">
        <w:rPr>
          <w:color w:val="000000"/>
          <w:szCs w:val="28"/>
        </w:rPr>
        <w:t>-</w:t>
      </w:r>
      <w:r w:rsidR="00C15A82" w:rsidRPr="00CD0241">
        <w:rPr>
          <w:color w:val="000000"/>
          <w:szCs w:val="28"/>
        </w:rPr>
        <w:t>Crumb, Moore, &amp; Ramos</w:t>
      </w:r>
      <w:r w:rsidR="00AA113A">
        <w:rPr>
          <w:color w:val="000000"/>
          <w:szCs w:val="28"/>
        </w:rPr>
        <w:t>-</w:t>
      </w:r>
      <w:r w:rsidR="00C15A82" w:rsidRPr="00CD0241">
        <w:rPr>
          <w:color w:val="000000"/>
          <w:szCs w:val="28"/>
        </w:rPr>
        <w:t>Wada, 2011).</w:t>
      </w:r>
      <w:r>
        <w:t xml:space="preserve"> </w:t>
      </w:r>
    </w:p>
    <w:p w14:paraId="5899F15F" w14:textId="77777777" w:rsidR="00AD7C10" w:rsidRDefault="00AD7C10" w:rsidP="00AD7C10">
      <w:pPr>
        <w:pStyle w:val="Header"/>
        <w:tabs>
          <w:tab w:val="clear" w:pos="4320"/>
          <w:tab w:val="clear" w:pos="8640"/>
        </w:tabs>
        <w:ind w:firstLine="720"/>
        <w:contextualSpacing/>
      </w:pPr>
    </w:p>
    <w:p w14:paraId="526BEE7B" w14:textId="5BBD1C18" w:rsidR="0015052A" w:rsidRPr="00CD0241" w:rsidRDefault="0015052A" w:rsidP="00AD7C10">
      <w:pPr>
        <w:contextualSpacing/>
        <w:rPr>
          <w:b/>
          <w:color w:val="000000"/>
          <w:szCs w:val="28"/>
          <w:lang w:val="en-CA"/>
        </w:rPr>
      </w:pPr>
      <w:r w:rsidRPr="00CD0241">
        <w:rPr>
          <w:b/>
        </w:rPr>
        <w:t xml:space="preserve">Gender and Persistence in </w:t>
      </w:r>
      <w:r w:rsidR="00A45ECA">
        <w:rPr>
          <w:b/>
        </w:rPr>
        <w:t>STEM Disciplines</w:t>
      </w:r>
    </w:p>
    <w:p w14:paraId="24CDB868" w14:textId="77777777" w:rsidR="00AD7C10" w:rsidRDefault="00AD7C10" w:rsidP="00AD7C10">
      <w:pPr>
        <w:ind w:firstLine="720"/>
        <w:contextualSpacing/>
      </w:pPr>
    </w:p>
    <w:p w14:paraId="1E1EF561" w14:textId="58AD6E48" w:rsidR="001021B6" w:rsidRDefault="00544C97" w:rsidP="00AD7C10">
      <w:pPr>
        <w:ind w:firstLine="720"/>
        <w:contextualSpacing/>
      </w:pPr>
      <w:r>
        <w:t xml:space="preserve">When exploring issues of persistence in the sciences, it is essential to examine the role of </w:t>
      </w:r>
      <w:r w:rsidR="0015052A">
        <w:t>gender</w:t>
      </w:r>
      <w:r>
        <w:t xml:space="preserve">. </w:t>
      </w:r>
      <w:r w:rsidR="0098129B">
        <w:t>Males and females</w:t>
      </w:r>
      <w:r>
        <w:t xml:space="preserve"> do not differ in their intrinsic aptitude for mathematics and science (</w:t>
      </w:r>
      <w:r w:rsidR="00015598">
        <w:t xml:space="preserve">e.g., </w:t>
      </w:r>
      <w:r w:rsidR="009943B3" w:rsidRPr="009A5564">
        <w:t>Hyde, Lindberg, Linn, Ellis, &amp; Williams, 2008</w:t>
      </w:r>
      <w:r>
        <w:t>)</w:t>
      </w:r>
      <w:proofErr w:type="gramStart"/>
      <w:r w:rsidR="004A16BE">
        <w:t>,</w:t>
      </w:r>
      <w:proofErr w:type="gramEnd"/>
      <w:r w:rsidR="004A16BE">
        <w:t xml:space="preserve"> however, </w:t>
      </w:r>
      <w:r w:rsidR="00973F7B">
        <w:t xml:space="preserve">female’s subjective </w:t>
      </w:r>
      <w:r w:rsidR="004A16BE">
        <w:t>perceptions of efficacy and competence</w:t>
      </w:r>
      <w:r>
        <w:t xml:space="preserve"> </w:t>
      </w:r>
      <w:r w:rsidR="004A16BE">
        <w:t xml:space="preserve">are lower </w:t>
      </w:r>
      <w:r w:rsidR="00973F7B">
        <w:t>for these subjects compared with</w:t>
      </w:r>
      <w:r w:rsidR="004A16BE">
        <w:t xml:space="preserve"> males</w:t>
      </w:r>
      <w:r w:rsidR="00973F7B">
        <w:t xml:space="preserve"> (</w:t>
      </w:r>
      <w:r w:rsidR="0015052A">
        <w:t xml:space="preserve">e.g., </w:t>
      </w:r>
      <w:r w:rsidR="00F570F7">
        <w:t xml:space="preserve">Goetz, </w:t>
      </w:r>
      <w:proofErr w:type="spellStart"/>
      <w:r w:rsidR="00F570F7">
        <w:t>Bieg</w:t>
      </w:r>
      <w:proofErr w:type="spellEnd"/>
      <w:r w:rsidR="00F570F7">
        <w:t xml:space="preserve">, </w:t>
      </w:r>
      <w:hyperlink r:id="rId9" w:history="1">
        <w:proofErr w:type="spellStart"/>
        <w:r w:rsidR="00F570F7" w:rsidRPr="00CD0241">
          <w:rPr>
            <w:rStyle w:val="Hyperlink"/>
            <w:bCs/>
            <w:color w:val="auto"/>
            <w:u w:val="none"/>
          </w:rPr>
          <w:t>Lüdtke</w:t>
        </w:r>
        <w:proofErr w:type="spellEnd"/>
      </w:hyperlink>
      <w:r w:rsidR="00F570F7">
        <w:t xml:space="preserve">, </w:t>
      </w:r>
      <w:proofErr w:type="spellStart"/>
      <w:r w:rsidR="00F570F7">
        <w:t>Pekrun</w:t>
      </w:r>
      <w:proofErr w:type="spellEnd"/>
      <w:r w:rsidR="00F570F7">
        <w:t>, &amp; Hall, 2013</w:t>
      </w:r>
      <w:r w:rsidR="00973F7B">
        <w:t>).</w:t>
      </w:r>
      <w:r w:rsidR="004A16BE">
        <w:t xml:space="preserve"> </w:t>
      </w:r>
      <w:r>
        <w:t xml:space="preserve">At every level of education, </w:t>
      </w:r>
      <w:r w:rsidRPr="00974670">
        <w:t xml:space="preserve">science is the only academic </w:t>
      </w:r>
      <w:r w:rsidR="001021B6">
        <w:t>domain</w:t>
      </w:r>
      <w:r w:rsidR="001021B6" w:rsidRPr="00974670">
        <w:t xml:space="preserve"> </w:t>
      </w:r>
      <w:r w:rsidRPr="00974670">
        <w:t>in which more females tend to leave than males</w:t>
      </w:r>
      <w:r>
        <w:t xml:space="preserve"> (</w:t>
      </w:r>
      <w:r w:rsidR="00275762">
        <w:t xml:space="preserve">Larose, </w:t>
      </w:r>
      <w:proofErr w:type="spellStart"/>
      <w:r w:rsidR="00275762">
        <w:t>Ratelle</w:t>
      </w:r>
      <w:proofErr w:type="spellEnd"/>
      <w:r w:rsidR="00275762">
        <w:t xml:space="preserve">, </w:t>
      </w:r>
      <w:proofErr w:type="spellStart"/>
      <w:r w:rsidR="00275762">
        <w:t>Guay</w:t>
      </w:r>
      <w:proofErr w:type="spellEnd"/>
      <w:r w:rsidR="00275762">
        <w:t xml:space="preserve">, </w:t>
      </w:r>
      <w:proofErr w:type="spellStart"/>
      <w:r w:rsidR="00275762">
        <w:t>Senecal</w:t>
      </w:r>
      <w:proofErr w:type="spellEnd"/>
      <w:r w:rsidR="00275762">
        <w:t xml:space="preserve">, &amp; Harvey, </w:t>
      </w:r>
      <w:r w:rsidR="00275762" w:rsidRPr="00B71A27">
        <w:t>2006</w:t>
      </w:r>
      <w:r w:rsidR="00275762">
        <w:t xml:space="preserve">; </w:t>
      </w:r>
      <w:r w:rsidR="002C3164">
        <w:t>Mau, 2003</w:t>
      </w:r>
      <w:r>
        <w:t xml:space="preserve">). </w:t>
      </w:r>
      <w:r w:rsidR="001021B6">
        <w:t xml:space="preserve"> </w:t>
      </w:r>
      <w:r w:rsidR="00D42636">
        <w:t>I</w:t>
      </w:r>
      <w:r w:rsidR="00CD25B6">
        <w:t>n Canada, recent reports reveal that only 17.7% of undergraduate students in engineering (Engineers Canada, 2012)</w:t>
      </w:r>
      <w:r w:rsidR="00927747">
        <w:t xml:space="preserve"> and</w:t>
      </w:r>
      <w:r w:rsidR="00CD25B6">
        <w:t xml:space="preserve"> 26% of undergraduate students in mathematics, computer, and information sciences </w:t>
      </w:r>
      <w:r w:rsidR="00927747">
        <w:t>are</w:t>
      </w:r>
      <w:r w:rsidR="00CD25B6">
        <w:t xml:space="preserve"> </w:t>
      </w:r>
      <w:r w:rsidR="00927747">
        <w:t>female</w:t>
      </w:r>
      <w:r w:rsidR="00CD25B6">
        <w:t xml:space="preserve"> (AUCC, 2011).</w:t>
      </w:r>
      <w:r w:rsidR="00CD25B6">
        <w:rPr>
          <w:lang w:val="en-CA"/>
        </w:rPr>
        <w:t xml:space="preserve"> </w:t>
      </w:r>
    </w:p>
    <w:p w14:paraId="1B179495" w14:textId="0EDA28A8" w:rsidR="008E764C" w:rsidRDefault="001021B6" w:rsidP="00AD7C10">
      <w:pPr>
        <w:ind w:firstLine="720"/>
        <w:contextualSpacing/>
        <w:rPr>
          <w:rFonts w:eastAsiaTheme="minorHAnsi"/>
          <w:lang w:val="en-CA"/>
        </w:rPr>
      </w:pPr>
      <w:r>
        <w:t>Although 42%</w:t>
      </w:r>
      <w:r w:rsidR="00544C97">
        <w:t xml:space="preserve"> of high school students taking physics are women, this percentage drops significantly at the university level where women are </w:t>
      </w:r>
      <w:r w:rsidR="00544C97" w:rsidRPr="00974670">
        <w:t>underrepresented at both the undergraduate and graduate level</w:t>
      </w:r>
      <w:r w:rsidR="00544C97">
        <w:t xml:space="preserve">. In </w:t>
      </w:r>
      <w:r w:rsidR="000A261D">
        <w:t>2010</w:t>
      </w:r>
      <w:r w:rsidR="00216EB1">
        <w:t xml:space="preserve"> in the U.S.</w:t>
      </w:r>
      <w:r w:rsidR="00544C97">
        <w:t xml:space="preserve">, just </w:t>
      </w:r>
      <w:r w:rsidR="000A261D">
        <w:t>20.3</w:t>
      </w:r>
      <w:r w:rsidR="00544C97">
        <w:t>% of physics bachelor’s degrees, 2</w:t>
      </w:r>
      <w:r w:rsidR="00216EB1">
        <w:t>2.6</w:t>
      </w:r>
      <w:r w:rsidR="00544C97">
        <w:t>% of physics master’s degrees, and 1</w:t>
      </w:r>
      <w:r w:rsidR="00216EB1">
        <w:t>9.4</w:t>
      </w:r>
      <w:r w:rsidR="00544C97">
        <w:t xml:space="preserve">% of physics </w:t>
      </w:r>
      <w:r w:rsidR="00544C97" w:rsidRPr="00974670">
        <w:t>PhDs</w:t>
      </w:r>
      <w:r w:rsidR="00544C97">
        <w:t xml:space="preserve"> were awarded to women (</w:t>
      </w:r>
      <w:r w:rsidR="00216EB1">
        <w:t>National Science Foundation, 2013</w:t>
      </w:r>
      <w:r w:rsidR="00544C97">
        <w:t xml:space="preserve">). </w:t>
      </w:r>
      <w:r w:rsidR="00AB4B0E">
        <w:t>In mathematics, computer and information sciences, architecture, and engineering and related services</w:t>
      </w:r>
      <w:r w:rsidR="00E1447D">
        <w:t>,</w:t>
      </w:r>
      <w:r w:rsidR="00AB4B0E">
        <w:t xml:space="preserve"> </w:t>
      </w:r>
      <w:r w:rsidR="00AB4B0E" w:rsidRPr="00CD25B6">
        <w:t>women only represent between 22</w:t>
      </w:r>
      <w:r w:rsidR="00AA113A">
        <w:t>-</w:t>
      </w:r>
      <w:r w:rsidR="00AB4B0E" w:rsidRPr="00CD25B6">
        <w:t xml:space="preserve">30% of </w:t>
      </w:r>
      <w:r w:rsidR="00AB4B0E">
        <w:t xml:space="preserve">university graduates </w:t>
      </w:r>
      <w:r w:rsidR="00927747">
        <w:t xml:space="preserve">in Canada </w:t>
      </w:r>
      <w:r w:rsidR="00AB4B0E">
        <w:t>(Statistics Canada, 2010).</w:t>
      </w:r>
      <w:r w:rsidR="00AB4B0E">
        <w:rPr>
          <w:lang w:val="en-CA"/>
        </w:rPr>
        <w:t xml:space="preserve"> </w:t>
      </w:r>
      <w:r w:rsidR="00544C97">
        <w:t xml:space="preserve">By the time they reach graduate school, only </w:t>
      </w:r>
      <w:r w:rsidR="00E24E63">
        <w:t>21</w:t>
      </w:r>
      <w:r w:rsidR="00544C97">
        <w:t>% of doctoral students in engineering</w:t>
      </w:r>
      <w:r w:rsidR="00E24E63">
        <w:t xml:space="preserve"> </w:t>
      </w:r>
      <w:r w:rsidR="00544C97">
        <w:t>and 2</w:t>
      </w:r>
      <w:r w:rsidR="00E24E63">
        <w:t>5</w:t>
      </w:r>
      <w:r w:rsidR="00544C97">
        <w:t xml:space="preserve">% of doctoral students in </w:t>
      </w:r>
      <w:r w:rsidR="00E24E63">
        <w:t>mathematics, computer, and information sciences</w:t>
      </w:r>
      <w:r w:rsidR="00544C97">
        <w:t xml:space="preserve"> </w:t>
      </w:r>
      <w:r w:rsidR="00927747">
        <w:t xml:space="preserve">are </w:t>
      </w:r>
      <w:r w:rsidR="00544C97">
        <w:t>women (</w:t>
      </w:r>
      <w:r w:rsidR="00E24E63">
        <w:t>AUCC, 2011; Engineers Canada, 2012</w:t>
      </w:r>
      <w:r w:rsidR="00544C97">
        <w:t>). Therefore, although women have made significant gains in their participation in the field of science over the past few decades</w:t>
      </w:r>
      <w:r w:rsidR="00927747">
        <w:t xml:space="preserve"> in Canada</w:t>
      </w:r>
      <w:r w:rsidR="00544C97">
        <w:t>, these gains have not been manifested beyond education</w:t>
      </w:r>
      <w:r w:rsidR="00106440">
        <w:t xml:space="preserve"> as </w:t>
      </w:r>
      <w:r w:rsidR="007036F5">
        <w:t xml:space="preserve">many </w:t>
      </w:r>
      <w:r w:rsidR="00106440">
        <w:t>women continue to avoid considering the viability of a</w:t>
      </w:r>
      <w:r w:rsidR="00544C97">
        <w:t xml:space="preserve"> career in the sciences</w:t>
      </w:r>
      <w:r w:rsidR="00106440">
        <w:t xml:space="preserve"> (</w:t>
      </w:r>
      <w:r>
        <w:t>e.g.,</w:t>
      </w:r>
      <w:r w:rsidR="00544C97">
        <w:t xml:space="preserve"> 2</w:t>
      </w:r>
      <w:r w:rsidR="006C5B5A">
        <w:t>2.3</w:t>
      </w:r>
      <w:r w:rsidR="00544C97">
        <w:t xml:space="preserve">% of </w:t>
      </w:r>
      <w:r>
        <w:rPr>
          <w:szCs w:val="20"/>
        </w:rPr>
        <w:t>STEM</w:t>
      </w:r>
      <w:r w:rsidR="00544C97" w:rsidRPr="006C5B5A">
        <w:rPr>
          <w:szCs w:val="20"/>
        </w:rPr>
        <w:t xml:space="preserve"> professionals</w:t>
      </w:r>
      <w:r>
        <w:rPr>
          <w:szCs w:val="20"/>
        </w:rPr>
        <w:t xml:space="preserve">, </w:t>
      </w:r>
      <w:r w:rsidR="00544C97">
        <w:rPr>
          <w:szCs w:val="20"/>
        </w:rPr>
        <w:t>Statistics Canada, 20</w:t>
      </w:r>
      <w:r w:rsidR="006C5B5A">
        <w:rPr>
          <w:szCs w:val="20"/>
        </w:rPr>
        <w:t>10</w:t>
      </w:r>
      <w:r>
        <w:rPr>
          <w:szCs w:val="20"/>
        </w:rPr>
        <w:t xml:space="preserve">; see also </w:t>
      </w:r>
      <w:proofErr w:type="spellStart"/>
      <w:r w:rsidRPr="009A5564">
        <w:t>Ceci</w:t>
      </w:r>
      <w:proofErr w:type="spellEnd"/>
      <w:r w:rsidRPr="009A5564">
        <w:t xml:space="preserve"> &amp;</w:t>
      </w:r>
      <w:r>
        <w:t xml:space="preserve"> </w:t>
      </w:r>
      <w:r w:rsidRPr="009A5564">
        <w:t>Williams, 2010</w:t>
      </w:r>
      <w:r>
        <w:t xml:space="preserve">; </w:t>
      </w:r>
      <w:proofErr w:type="spellStart"/>
      <w:r>
        <w:rPr>
          <w:lang w:val="en-CA"/>
        </w:rPr>
        <w:t>Cheryan</w:t>
      </w:r>
      <w:proofErr w:type="spellEnd"/>
      <w:r>
        <w:rPr>
          <w:lang w:val="en-CA"/>
        </w:rPr>
        <w:t>, 2012</w:t>
      </w:r>
      <w:r w:rsidR="00544C97">
        <w:rPr>
          <w:szCs w:val="20"/>
        </w:rPr>
        <w:t>)</w:t>
      </w:r>
      <w:r w:rsidR="006C5B5A">
        <w:rPr>
          <w:szCs w:val="20"/>
        </w:rPr>
        <w:t>, and in the U.S., women represent approximately 26.8% of the science and engineering workforce (</w:t>
      </w:r>
      <w:r w:rsidR="006C5B5A">
        <w:rPr>
          <w:rFonts w:eastAsiaTheme="minorHAnsi"/>
          <w:lang w:val="en-CA"/>
        </w:rPr>
        <w:t xml:space="preserve">National Science Foundation, </w:t>
      </w:r>
      <w:r w:rsidR="00B71BDE" w:rsidRPr="00CD0241">
        <w:rPr>
          <w:rFonts w:eastAsiaTheme="minorHAnsi"/>
          <w:lang w:val="en-CA"/>
        </w:rPr>
        <w:t>2013)</w:t>
      </w:r>
      <w:r w:rsidR="006C5B5A">
        <w:rPr>
          <w:rFonts w:eastAsiaTheme="minorHAnsi"/>
          <w:lang w:val="en-CA"/>
        </w:rPr>
        <w:t>.</w:t>
      </w:r>
    </w:p>
    <w:p w14:paraId="03284108" w14:textId="77777777" w:rsidR="00AD7C10" w:rsidRPr="008E764C" w:rsidRDefault="00AD7C10" w:rsidP="00AD7C10">
      <w:pPr>
        <w:ind w:firstLine="720"/>
        <w:contextualSpacing/>
        <w:rPr>
          <w:rFonts w:eastAsiaTheme="minorHAnsi"/>
        </w:rPr>
      </w:pPr>
    </w:p>
    <w:p w14:paraId="44EE9C31" w14:textId="6F0C2706" w:rsidR="00D7464D" w:rsidRDefault="00A45ECA" w:rsidP="00AD7C10">
      <w:pPr>
        <w:pStyle w:val="BodyTextIndent"/>
        <w:spacing w:line="240" w:lineRule="auto"/>
        <w:ind w:firstLine="0"/>
        <w:contextualSpacing/>
        <w:rPr>
          <w:b/>
          <w:lang w:val="en-US"/>
        </w:rPr>
      </w:pPr>
      <w:r w:rsidRPr="00CD0241">
        <w:rPr>
          <w:b/>
          <w:szCs w:val="20"/>
        </w:rPr>
        <w:t>Motivation</w:t>
      </w:r>
      <w:r w:rsidR="00D7464D" w:rsidRPr="006558EB">
        <w:rPr>
          <w:b/>
          <w:lang w:val="en-US"/>
        </w:rPr>
        <w:t xml:space="preserve"> </w:t>
      </w:r>
      <w:r>
        <w:rPr>
          <w:b/>
          <w:lang w:val="en-US"/>
        </w:rPr>
        <w:t>in Education</w:t>
      </w:r>
    </w:p>
    <w:p w14:paraId="3A537BD1" w14:textId="77777777" w:rsidR="00AD7C10" w:rsidRPr="006558EB" w:rsidRDefault="00AD7C10" w:rsidP="00AD7C10">
      <w:pPr>
        <w:pStyle w:val="BodyTextIndent"/>
        <w:spacing w:line="240" w:lineRule="auto"/>
        <w:ind w:firstLine="0"/>
        <w:contextualSpacing/>
        <w:rPr>
          <w:b/>
          <w:lang w:val="en-US"/>
        </w:rPr>
      </w:pPr>
    </w:p>
    <w:p w14:paraId="3CB7F8B6" w14:textId="23DFA073" w:rsidR="00AD0A34" w:rsidRPr="00507F37" w:rsidRDefault="00A45ECA" w:rsidP="00AD7C10">
      <w:pPr>
        <w:contextualSpacing/>
      </w:pPr>
      <w:r>
        <w:tab/>
      </w:r>
      <w:proofErr w:type="gramStart"/>
      <w:r w:rsidRPr="00CD0241">
        <w:rPr>
          <w:b/>
        </w:rPr>
        <w:t>Self</w:t>
      </w:r>
      <w:r w:rsidR="00AA113A">
        <w:rPr>
          <w:b/>
        </w:rPr>
        <w:t>-</w:t>
      </w:r>
      <w:r w:rsidRPr="00CD0241">
        <w:rPr>
          <w:b/>
        </w:rPr>
        <w:t>determination.</w:t>
      </w:r>
      <w:proofErr w:type="gramEnd"/>
      <w:r>
        <w:rPr>
          <w:b/>
        </w:rPr>
        <w:t xml:space="preserve"> </w:t>
      </w:r>
      <w:r w:rsidR="00690C89">
        <w:t>From an educational perspective, s</w:t>
      </w:r>
      <w:r w:rsidR="00D7464D">
        <w:t>elf</w:t>
      </w:r>
      <w:r w:rsidR="00AA113A">
        <w:t>-</w:t>
      </w:r>
      <w:r w:rsidR="00D7464D">
        <w:t>determination theory (SDT) focuses on the content of the goals that individuals have for learning and the learning context within which these goals are pursued (</w:t>
      </w:r>
      <w:proofErr w:type="spellStart"/>
      <w:r w:rsidR="00D7464D">
        <w:t>Deci</w:t>
      </w:r>
      <w:proofErr w:type="spellEnd"/>
      <w:r w:rsidR="00D7464D">
        <w:t xml:space="preserve"> &amp; Ryan, </w:t>
      </w:r>
      <w:r w:rsidR="000F14F2">
        <w:t xml:space="preserve">2012; Ryan &amp; </w:t>
      </w:r>
      <w:proofErr w:type="spellStart"/>
      <w:r w:rsidR="000F14F2">
        <w:t>Deci</w:t>
      </w:r>
      <w:proofErr w:type="spellEnd"/>
      <w:r w:rsidR="000F14F2">
        <w:t>, 2009</w:t>
      </w:r>
      <w:r w:rsidR="00D7464D">
        <w:t>). Motivated actions are perceived of as being self</w:t>
      </w:r>
      <w:r w:rsidR="00AA113A">
        <w:t>-</w:t>
      </w:r>
      <w:r w:rsidR="00D7464D">
        <w:t xml:space="preserve">determined when they are engaged in truly volitionally and when the perceived locus of control is internal to the self. With respect to student persistence, three basic psychological needs must be met in order to promote students’ continued interest and enjoyment of learning experiences: autonomy, competence, and relatedness. </w:t>
      </w:r>
      <w:r w:rsidR="00690C89" w:rsidRPr="00CD0241">
        <w:rPr>
          <w:i/>
        </w:rPr>
        <w:t>A</w:t>
      </w:r>
      <w:r w:rsidR="00D7464D" w:rsidRPr="00CD0241">
        <w:rPr>
          <w:i/>
        </w:rPr>
        <w:t>utonomy</w:t>
      </w:r>
      <w:r w:rsidR="00D7464D">
        <w:t xml:space="preserve"> refers to the students’ perception</w:t>
      </w:r>
      <w:r w:rsidR="0073750E">
        <w:t>s</w:t>
      </w:r>
      <w:r w:rsidR="00D7464D">
        <w:t xml:space="preserve"> that the learning environment is interactive rather than controlled. Students need to feel that they have some control over what is being taught and that their thoughts and feelings about the material are being acknowledged and integrated (</w:t>
      </w:r>
      <w:proofErr w:type="spellStart"/>
      <w:r w:rsidR="00D7464D">
        <w:t>Filak</w:t>
      </w:r>
      <w:proofErr w:type="spellEnd"/>
      <w:r w:rsidR="00D7464D">
        <w:t xml:space="preserve"> &amp; Sheldon, 2003). </w:t>
      </w:r>
      <w:r w:rsidR="00690C89" w:rsidRPr="00CD0241">
        <w:rPr>
          <w:i/>
        </w:rPr>
        <w:t>C</w:t>
      </w:r>
      <w:r w:rsidR="00D7464D" w:rsidRPr="00CD0241">
        <w:rPr>
          <w:i/>
        </w:rPr>
        <w:t>ompetence</w:t>
      </w:r>
      <w:r w:rsidR="00D7464D">
        <w:t xml:space="preserve"> </w:t>
      </w:r>
      <w:r w:rsidR="00690C89">
        <w:t>(</w:t>
      </w:r>
      <w:r w:rsidR="00F615CB">
        <w:t>cf.</w:t>
      </w:r>
      <w:r w:rsidR="00291F74">
        <w:t xml:space="preserve"> academic self</w:t>
      </w:r>
      <w:r w:rsidR="00AA113A">
        <w:t>-</w:t>
      </w:r>
      <w:r w:rsidR="00291F74">
        <w:t xml:space="preserve">efficacy, </w:t>
      </w:r>
      <w:r w:rsidR="00690C89">
        <w:t xml:space="preserve">e.g., Fortier, </w:t>
      </w:r>
      <w:proofErr w:type="spellStart"/>
      <w:r w:rsidR="00690C89">
        <w:t>Vallerand</w:t>
      </w:r>
      <w:proofErr w:type="spellEnd"/>
      <w:r w:rsidR="00690C89">
        <w:t xml:space="preserve">, &amp; </w:t>
      </w:r>
      <w:proofErr w:type="spellStart"/>
      <w:r w:rsidR="00690C89">
        <w:t>Guay</w:t>
      </w:r>
      <w:proofErr w:type="spellEnd"/>
      <w:r w:rsidR="00690C89">
        <w:t>, 1995)</w:t>
      </w:r>
      <w:r w:rsidR="00291F74">
        <w:t xml:space="preserve"> </w:t>
      </w:r>
      <w:r w:rsidR="00D7464D">
        <w:t xml:space="preserve">refers to students’ perceptions that they are effective in their learning, and that they have </w:t>
      </w:r>
      <w:r w:rsidR="00D7464D">
        <w:lastRenderedPageBreak/>
        <w:t xml:space="preserve">opportunities to exercise and express their capabilities. </w:t>
      </w:r>
      <w:r w:rsidR="00291F74" w:rsidRPr="00CD0241">
        <w:rPr>
          <w:i/>
        </w:rPr>
        <w:t>R</w:t>
      </w:r>
      <w:r w:rsidR="00D7464D" w:rsidRPr="00CD0241">
        <w:rPr>
          <w:i/>
        </w:rPr>
        <w:t>elatedness</w:t>
      </w:r>
      <w:r w:rsidR="00D7464D">
        <w:t xml:space="preserve"> refers to the need to interact with others in order to promote the enjoyment of a task or lesson</w:t>
      </w:r>
      <w:r w:rsidR="0039235F">
        <w:t xml:space="preserve">. </w:t>
      </w:r>
      <w:r w:rsidR="00291F74">
        <w:t>SDT</w:t>
      </w:r>
      <w:r w:rsidR="00F056D6">
        <w:t xml:space="preserve"> </w:t>
      </w:r>
      <w:r w:rsidR="00D7464D">
        <w:t>proposes that when students feel autonomous (rather than controlled), competent (or self</w:t>
      </w:r>
      <w:r w:rsidR="00AA113A">
        <w:t>-</w:t>
      </w:r>
      <w:r w:rsidR="00D7464D">
        <w:t>efficacious)</w:t>
      </w:r>
      <w:r w:rsidR="0073750E">
        <w:t>,</w:t>
      </w:r>
      <w:r w:rsidR="00D7464D">
        <w:t xml:space="preserve"> and related, they are more likely to be </w:t>
      </w:r>
      <w:r w:rsidR="00D7464D" w:rsidRPr="00CD0241">
        <w:rPr>
          <w:i/>
        </w:rPr>
        <w:t>intrinsically motivated</w:t>
      </w:r>
      <w:r w:rsidR="00D7464D">
        <w:t xml:space="preserve"> and to adopt intrinsic goals </w:t>
      </w:r>
      <w:r w:rsidR="00D7464D" w:rsidRPr="00F056D6">
        <w:t xml:space="preserve">that promote continued interest and persistence in a given subject area. </w:t>
      </w:r>
      <w:r w:rsidR="00AD0A34" w:rsidRPr="00F27FE8">
        <w:t>Examining persistence in science using an SDT framework may therefore shed some light on how science educators can implement certain practices in the classroom to ensure that the conditions necessary for self</w:t>
      </w:r>
      <w:r w:rsidR="00AA113A">
        <w:t>-</w:t>
      </w:r>
      <w:r w:rsidR="00AD0A34" w:rsidRPr="00F27FE8">
        <w:t xml:space="preserve">determined motivation </w:t>
      </w:r>
      <w:r w:rsidR="0073750E">
        <w:t>are present</w:t>
      </w:r>
      <w:r w:rsidR="00AD0A34" w:rsidRPr="00F27FE8">
        <w:t>.</w:t>
      </w:r>
    </w:p>
    <w:p w14:paraId="3A26DFCA" w14:textId="38710531" w:rsidR="00615A99" w:rsidRDefault="0094367E" w:rsidP="00AD7C10">
      <w:pPr>
        <w:ind w:firstLine="720"/>
        <w:contextualSpacing/>
      </w:pPr>
      <w:r>
        <w:t>R</w:t>
      </w:r>
      <w:r w:rsidR="007C3904">
        <w:t>esearchers have examined the influence of autonomy</w:t>
      </w:r>
      <w:r w:rsidR="00AA113A">
        <w:t>-</w:t>
      </w:r>
      <w:r w:rsidR="007C3904">
        <w:t xml:space="preserve">supportive versus controlling teacher practices on students’ classroom performance and persistence (e.g., </w:t>
      </w:r>
      <w:r w:rsidR="00786574">
        <w:t>Reeve, 2009;</w:t>
      </w:r>
      <w:r w:rsidR="003A4085">
        <w:t xml:space="preserve"> </w:t>
      </w:r>
      <w:proofErr w:type="spellStart"/>
      <w:r w:rsidR="007C3904">
        <w:t>Vansteenkiste</w:t>
      </w:r>
      <w:proofErr w:type="spellEnd"/>
      <w:r w:rsidR="007C3904">
        <w:t xml:space="preserve">, Simons, Lens, Sheldon, &amp; </w:t>
      </w:r>
      <w:proofErr w:type="spellStart"/>
      <w:r w:rsidR="007C3904">
        <w:t>Deci</w:t>
      </w:r>
      <w:proofErr w:type="spellEnd"/>
      <w:r w:rsidR="007C3904">
        <w:t>, 2004). Researchers demonstrated that controlling behaviors such as imposing strict deadlines, not allowing students to voice opinions different from those expressed by the teacher, and continually giving directives to students undermine intrinsic motivation by increasing negative feelings and reducing students’ active engagement in their learning (</w:t>
      </w:r>
      <w:proofErr w:type="spellStart"/>
      <w:r w:rsidR="007C3904">
        <w:t>Assor</w:t>
      </w:r>
      <w:proofErr w:type="spellEnd"/>
      <w:r w:rsidR="007C3904">
        <w:t xml:space="preserve">, Kaplan, </w:t>
      </w:r>
      <w:proofErr w:type="spellStart"/>
      <w:r w:rsidR="007C3904">
        <w:t>Kanat</w:t>
      </w:r>
      <w:r w:rsidR="00AA113A">
        <w:t>-</w:t>
      </w:r>
      <w:r w:rsidR="007C3904">
        <w:t>Maymon</w:t>
      </w:r>
      <w:proofErr w:type="spellEnd"/>
      <w:r w:rsidR="007C3904">
        <w:t>, &amp; Roth, 2005</w:t>
      </w:r>
      <w:r w:rsidR="006C4C1F">
        <w:t xml:space="preserve">; </w:t>
      </w:r>
      <w:proofErr w:type="spellStart"/>
      <w:r w:rsidR="006C4C1F">
        <w:t>Deci</w:t>
      </w:r>
      <w:proofErr w:type="spellEnd"/>
      <w:r w:rsidR="006C4C1F">
        <w:t xml:space="preserve"> &amp; Ryan, 20</w:t>
      </w:r>
      <w:r w:rsidR="00E75C8D">
        <w:t>1</w:t>
      </w:r>
      <w:r w:rsidR="006C4C1F">
        <w:t>2</w:t>
      </w:r>
      <w:r w:rsidR="007C3904">
        <w:t>). Contrarily, autonomy</w:t>
      </w:r>
      <w:r w:rsidR="00AA113A">
        <w:t>-</w:t>
      </w:r>
      <w:r w:rsidR="007C3904">
        <w:t>supportive teachers who offer choices to students, allow students to work at their preferred pace, and who build on students’ prior knowledge, promote s</w:t>
      </w:r>
      <w:r w:rsidR="00786574">
        <w:t>t</w:t>
      </w:r>
      <w:r w:rsidR="007C3904">
        <w:t>udents’ active engagement in their learning, thereby increasing their intrinsic motivation to learn (</w:t>
      </w:r>
      <w:r w:rsidR="003A4085">
        <w:t>e.g., Reeve</w:t>
      </w:r>
      <w:r w:rsidR="0057228A">
        <w:t xml:space="preserve">, Jang, </w:t>
      </w:r>
      <w:proofErr w:type="spellStart"/>
      <w:r w:rsidR="0057228A">
        <w:t>Carrell</w:t>
      </w:r>
      <w:proofErr w:type="spellEnd"/>
      <w:r w:rsidR="0057228A">
        <w:t xml:space="preserve">, </w:t>
      </w:r>
      <w:proofErr w:type="spellStart"/>
      <w:r w:rsidR="0057228A">
        <w:t>Barch</w:t>
      </w:r>
      <w:proofErr w:type="spellEnd"/>
      <w:r w:rsidR="0057228A">
        <w:t xml:space="preserve">, &amp; </w:t>
      </w:r>
      <w:proofErr w:type="spellStart"/>
      <w:r w:rsidR="0057228A">
        <w:t>Jeon</w:t>
      </w:r>
      <w:proofErr w:type="spellEnd"/>
      <w:r w:rsidR="0057228A">
        <w:t>, 2004</w:t>
      </w:r>
      <w:r w:rsidR="007C3904">
        <w:t>).</w:t>
      </w:r>
      <w:r>
        <w:t xml:space="preserve"> </w:t>
      </w:r>
      <w:r w:rsidR="007C3904" w:rsidRPr="00F95BF5">
        <w:t>When students fe</w:t>
      </w:r>
      <w:r w:rsidRPr="00F95BF5">
        <w:t>el</w:t>
      </w:r>
      <w:r w:rsidR="007C3904" w:rsidRPr="00F95BF5">
        <w:t xml:space="preserve"> engaged and involved in their learning and interested in class material, they tend</w:t>
      </w:r>
      <w:r w:rsidRPr="00F95BF5">
        <w:t xml:space="preserve"> </w:t>
      </w:r>
      <w:r w:rsidR="007C3904" w:rsidRPr="00F95BF5">
        <w:t>to adopt mastery goals, which in turn predicted intrinsic motivation and performance</w:t>
      </w:r>
      <w:r w:rsidRPr="00F95BF5">
        <w:t xml:space="preserve"> (e.g., Church, Elliot, &amp; Gable, 2001)</w:t>
      </w:r>
      <w:r w:rsidR="007C3904" w:rsidRPr="00F95BF5">
        <w:t>. Students who perceive the teacher as controlling and solely concerned with student performance as opposed to student learning tend to adopt performance goals, which in turn predict their performance but not their intrinsic motivation</w:t>
      </w:r>
      <w:r w:rsidR="00543BF2" w:rsidRPr="00F95BF5">
        <w:t>.</w:t>
      </w:r>
      <w:r w:rsidR="007C3904">
        <w:tab/>
      </w:r>
    </w:p>
    <w:p w14:paraId="5D195C3B" w14:textId="11A27874" w:rsidR="00615A99" w:rsidRDefault="00A45ECA" w:rsidP="00AD7C10">
      <w:pPr>
        <w:autoSpaceDE w:val="0"/>
        <w:autoSpaceDN w:val="0"/>
        <w:adjustRightInd w:val="0"/>
        <w:ind w:firstLine="720"/>
        <w:contextualSpacing/>
      </w:pPr>
      <w:proofErr w:type="gramStart"/>
      <w:r w:rsidRPr="00CD0241">
        <w:rPr>
          <w:b/>
          <w:szCs w:val="20"/>
        </w:rPr>
        <w:t>Self</w:t>
      </w:r>
      <w:r w:rsidR="00AA113A">
        <w:rPr>
          <w:b/>
          <w:szCs w:val="20"/>
        </w:rPr>
        <w:t>-</w:t>
      </w:r>
      <w:r w:rsidRPr="00CD0241">
        <w:rPr>
          <w:b/>
          <w:szCs w:val="20"/>
        </w:rPr>
        <w:t>efficacy.</w:t>
      </w:r>
      <w:proofErr w:type="gramEnd"/>
      <w:r>
        <w:rPr>
          <w:szCs w:val="20"/>
        </w:rPr>
        <w:t xml:space="preserve"> </w:t>
      </w:r>
      <w:r w:rsidR="00615A99">
        <w:rPr>
          <w:szCs w:val="20"/>
        </w:rPr>
        <w:t xml:space="preserve">From an SDT perspective, </w:t>
      </w:r>
      <w:r w:rsidR="004C18C4">
        <w:rPr>
          <w:szCs w:val="20"/>
        </w:rPr>
        <w:t>perceptions of</w:t>
      </w:r>
      <w:r w:rsidR="00615A99">
        <w:rPr>
          <w:szCs w:val="20"/>
        </w:rPr>
        <w:t xml:space="preserve"> self</w:t>
      </w:r>
      <w:r w:rsidR="00AA113A">
        <w:rPr>
          <w:szCs w:val="20"/>
        </w:rPr>
        <w:t>-</w:t>
      </w:r>
      <w:r w:rsidR="00615A99">
        <w:rPr>
          <w:szCs w:val="20"/>
        </w:rPr>
        <w:t xml:space="preserve">efficacy </w:t>
      </w:r>
      <w:r w:rsidR="004C18C4">
        <w:rPr>
          <w:szCs w:val="20"/>
        </w:rPr>
        <w:t xml:space="preserve">in students can be understood as evidence of having supported </w:t>
      </w:r>
      <w:r w:rsidR="004C18C4" w:rsidRPr="00E36032">
        <w:t>students’</w:t>
      </w:r>
      <w:r w:rsidR="00615A99" w:rsidRPr="00E36032">
        <w:t xml:space="preserve"> need for</w:t>
      </w:r>
      <w:r w:rsidR="009518C6" w:rsidRPr="00E36032">
        <w:t xml:space="preserve"> competence, with domain</w:t>
      </w:r>
      <w:r w:rsidR="00AA113A">
        <w:t>-</w:t>
      </w:r>
      <w:r w:rsidR="009518C6" w:rsidRPr="00E36032">
        <w:t>specific, self</w:t>
      </w:r>
      <w:r w:rsidR="00AA113A">
        <w:t>-</w:t>
      </w:r>
      <w:r w:rsidR="009518C6" w:rsidRPr="00E36032">
        <w:t>report measures of self</w:t>
      </w:r>
      <w:r w:rsidR="00AA113A">
        <w:t>-</w:t>
      </w:r>
      <w:r w:rsidR="009518C6" w:rsidRPr="00E36032">
        <w:t xml:space="preserve">efficacy (e.g., in science) often serving </w:t>
      </w:r>
      <w:r w:rsidR="009518C6" w:rsidRPr="00532F34">
        <w:t>as prox</w:t>
      </w:r>
      <w:r w:rsidR="00EF70E0">
        <w:t>ies</w:t>
      </w:r>
      <w:r w:rsidR="009518C6" w:rsidRPr="00CD0241">
        <w:t xml:space="preserve"> for need for competence</w:t>
      </w:r>
      <w:r w:rsidR="009518C6" w:rsidRPr="00E36032">
        <w:t xml:space="preserve"> (</w:t>
      </w:r>
      <w:r w:rsidR="006A6D9E" w:rsidRPr="00E36032">
        <w:t xml:space="preserve">e.g., Van den </w:t>
      </w:r>
      <w:proofErr w:type="spellStart"/>
      <w:r w:rsidR="006A6D9E" w:rsidRPr="00E36032">
        <w:t>Broeck</w:t>
      </w:r>
      <w:proofErr w:type="spellEnd"/>
      <w:r w:rsidR="0022283E">
        <w:t xml:space="preserve">, </w:t>
      </w:r>
      <w:proofErr w:type="spellStart"/>
      <w:r w:rsidR="0022283E" w:rsidRPr="00D71037">
        <w:t>Vansteenkiste</w:t>
      </w:r>
      <w:proofErr w:type="spellEnd"/>
      <w:r w:rsidR="0022283E" w:rsidRPr="00D71037">
        <w:t xml:space="preserve">, De Witte, </w:t>
      </w:r>
      <w:proofErr w:type="spellStart"/>
      <w:r w:rsidR="0022283E">
        <w:t>Soenens</w:t>
      </w:r>
      <w:proofErr w:type="spellEnd"/>
      <w:r w:rsidR="0022283E">
        <w:t xml:space="preserve">, </w:t>
      </w:r>
      <w:r w:rsidR="0022283E" w:rsidRPr="00D71037">
        <w:t>&amp; Lens,</w:t>
      </w:r>
      <w:r w:rsidR="0022283E">
        <w:t xml:space="preserve"> </w:t>
      </w:r>
      <w:r w:rsidR="006A6D9E" w:rsidRPr="00E36032">
        <w:t>2010</w:t>
      </w:r>
      <w:r w:rsidR="007B7C0C" w:rsidRPr="00E36032">
        <w:t>)</w:t>
      </w:r>
      <w:r w:rsidR="009518C6" w:rsidRPr="00E36032">
        <w:t>.</w:t>
      </w:r>
      <w:r w:rsidR="009518C6">
        <w:rPr>
          <w:szCs w:val="20"/>
        </w:rPr>
        <w:t xml:space="preserve"> More specifically, s</w:t>
      </w:r>
      <w:r w:rsidR="00615A99">
        <w:t>elf</w:t>
      </w:r>
      <w:r w:rsidR="00AA113A">
        <w:t>-</w:t>
      </w:r>
      <w:r w:rsidR="00615A99">
        <w:t>efficacy is a performance</w:t>
      </w:r>
      <w:r w:rsidR="00AA113A">
        <w:t>-</w:t>
      </w:r>
      <w:r w:rsidR="00615A99">
        <w:t xml:space="preserve">based measure of perceived capability rather than a measure of personal qualities such as one’s physical or psychological characteristics. As the central construct in social cognitive theory </w:t>
      </w:r>
      <w:r w:rsidR="00615A99" w:rsidRPr="00197632">
        <w:t>(Bandura, 1986)</w:t>
      </w:r>
      <w:r w:rsidR="00615A99">
        <w:t xml:space="preserve">, </w:t>
      </w:r>
      <w:r w:rsidR="00615A99" w:rsidRPr="00CD0241">
        <w:rPr>
          <w:iCs/>
        </w:rPr>
        <w:t>self</w:t>
      </w:r>
      <w:r w:rsidR="00AA113A">
        <w:rPr>
          <w:iCs/>
        </w:rPr>
        <w:t>-</w:t>
      </w:r>
      <w:r w:rsidR="00615A99" w:rsidRPr="00CD0241">
        <w:rPr>
          <w:iCs/>
        </w:rPr>
        <w:t>efficacy</w:t>
      </w:r>
      <w:r w:rsidR="00615A99">
        <w:t xml:space="preserve"> is defined as “the belief in one’s capability to organize and execute the courses of action required to produce given attainments” (Bandura, 1997, p. 2). Efficacy beliefs affect behavior by influencing the choices people make, the courses of action they pursue, the amount of effort they will expend, and their persistence in the face of difficulty or failure (Bandura, 1997). </w:t>
      </w:r>
      <w:proofErr w:type="spellStart"/>
      <w:r w:rsidR="00615A99">
        <w:t>Pajares</w:t>
      </w:r>
      <w:proofErr w:type="spellEnd"/>
      <w:r w:rsidR="00615A99">
        <w:t xml:space="preserve"> (1996) argues that the higher the sense of self</w:t>
      </w:r>
      <w:r w:rsidR="00AA113A">
        <w:t>-</w:t>
      </w:r>
      <w:r w:rsidR="00615A99">
        <w:t>efficacy, the greater the effort, persistence, and resilience. Hence, self</w:t>
      </w:r>
      <w:r w:rsidR="00AA113A">
        <w:t>-</w:t>
      </w:r>
      <w:r w:rsidR="00615A99">
        <w:t>efficacy is a very relevant variable to account for in attempting to explain persistence in science from high school to college, especially since research has shown that science and mathematics self</w:t>
      </w:r>
      <w:r w:rsidR="00AA113A">
        <w:t>-</w:t>
      </w:r>
      <w:r w:rsidR="00615A99">
        <w:t>efficacy beliefs are increasingly likely to decline during school transitions (</w:t>
      </w:r>
      <w:r w:rsidR="0022283E">
        <w:t xml:space="preserve">e.g., </w:t>
      </w:r>
      <w:r w:rsidR="00615A99">
        <w:t>Watt, 2004).</w:t>
      </w:r>
    </w:p>
    <w:p w14:paraId="30F43301" w14:textId="1309F2DF" w:rsidR="00615A99" w:rsidRDefault="00615A99" w:rsidP="00AD7C10">
      <w:pPr>
        <w:ind w:firstLine="720"/>
        <w:contextualSpacing/>
      </w:pPr>
      <w:r>
        <w:t>Self</w:t>
      </w:r>
      <w:r w:rsidR="00AA113A">
        <w:t>-</w:t>
      </w:r>
      <w:r>
        <w:t>efficacy has been identified as a major influence on student performance and persistence (</w:t>
      </w:r>
      <w:r w:rsidR="00383E34">
        <w:t xml:space="preserve">e.g., </w:t>
      </w:r>
      <w:proofErr w:type="spellStart"/>
      <w:r w:rsidRPr="00E467FD">
        <w:t>Schunk</w:t>
      </w:r>
      <w:proofErr w:type="spellEnd"/>
      <w:r w:rsidRPr="00E467FD">
        <w:t xml:space="preserve"> &amp; </w:t>
      </w:r>
      <w:proofErr w:type="spellStart"/>
      <w:r w:rsidRPr="00E467FD">
        <w:t>Pajares</w:t>
      </w:r>
      <w:proofErr w:type="spellEnd"/>
      <w:r w:rsidRPr="00E467FD">
        <w:t>, 2005)</w:t>
      </w:r>
      <w:r>
        <w:t>. S</w:t>
      </w:r>
      <w:r w:rsidR="00D834A2">
        <w:t>TEM</w:t>
      </w:r>
      <w:r>
        <w:t xml:space="preserve"> self</w:t>
      </w:r>
      <w:r w:rsidR="00AA113A">
        <w:t>-</w:t>
      </w:r>
      <w:r>
        <w:t xml:space="preserve">efficacy beliefs have been shown to influence such key indices of academic motivation as choice of activities and goals, persistence, and emotional reactions (e.g., </w:t>
      </w:r>
      <w:r w:rsidRPr="00E467FD">
        <w:t xml:space="preserve">Lent, Lopez, </w:t>
      </w:r>
      <w:proofErr w:type="spellStart"/>
      <w:r w:rsidRPr="00E467FD">
        <w:t>Sheu</w:t>
      </w:r>
      <w:proofErr w:type="spellEnd"/>
      <w:r w:rsidRPr="00E467FD">
        <w:t>, &amp; Lopez, 2011</w:t>
      </w:r>
      <w:r>
        <w:t>). Self</w:t>
      </w:r>
      <w:r w:rsidR="00AA113A">
        <w:t>-</w:t>
      </w:r>
      <w:r>
        <w:t>efficacious students participate more readily, work harder, persist longer, and have fewer negative reactions when encountering difficulty than students who doubt their capabilities (Zimmerman, 2000). Hackett and Betz (1981) further proposed that self</w:t>
      </w:r>
      <w:r w:rsidR="00AA113A">
        <w:t>-</w:t>
      </w:r>
      <w:r>
        <w:t xml:space="preserve">efficacy also influences educational and career </w:t>
      </w:r>
      <w:r>
        <w:lastRenderedPageBreak/>
        <w:t>decision</w:t>
      </w:r>
      <w:r w:rsidR="00AA113A">
        <w:t>-</w:t>
      </w:r>
      <w:r>
        <w:t xml:space="preserve">making, an assertion supported by subsequent </w:t>
      </w:r>
      <w:r w:rsidRPr="00867E70">
        <w:t>research by Lent and Hackett (1987) and meta</w:t>
      </w:r>
      <w:r w:rsidR="00AA113A" w:rsidRPr="00867E70">
        <w:t>-</w:t>
      </w:r>
      <w:r w:rsidRPr="00867E70">
        <w:t xml:space="preserve">analytic findings by </w:t>
      </w:r>
      <w:proofErr w:type="spellStart"/>
      <w:r w:rsidRPr="00CD0241">
        <w:t>Multon</w:t>
      </w:r>
      <w:proofErr w:type="spellEnd"/>
      <w:r w:rsidRPr="00CD0241">
        <w:t>, Brown, and Lent (1991) showing</w:t>
      </w:r>
      <w:r>
        <w:t xml:space="preserve"> self</w:t>
      </w:r>
      <w:r w:rsidR="00AA113A">
        <w:t>-</w:t>
      </w:r>
      <w:r>
        <w:t>efficacy to predict both college</w:t>
      </w:r>
      <w:r w:rsidR="00AA113A">
        <w:t>-</w:t>
      </w:r>
      <w:r>
        <w:t>major choices and academic performance.</w:t>
      </w:r>
    </w:p>
    <w:p w14:paraId="3CF6BDC0" w14:textId="768D3F8D" w:rsidR="00F75EC5" w:rsidRDefault="00A45ECA" w:rsidP="00AD7C10">
      <w:pPr>
        <w:ind w:firstLine="720"/>
        <w:contextualSpacing/>
      </w:pPr>
      <w:proofErr w:type="gramStart"/>
      <w:r w:rsidRPr="00CD0241">
        <w:rPr>
          <w:b/>
        </w:rPr>
        <w:t>Achievement goals.</w:t>
      </w:r>
      <w:proofErr w:type="gramEnd"/>
      <w:r w:rsidRPr="00532F34">
        <w:t xml:space="preserve"> </w:t>
      </w:r>
      <w:r w:rsidR="00F75EC5" w:rsidRPr="00A45ECA">
        <w:t>In the context of achievement goal theory, academic goals refer to motives that students us</w:t>
      </w:r>
      <w:r w:rsidR="00F75EC5" w:rsidRPr="00D53C20">
        <w:t>e for guiding their classroom behavior and decisions (</w:t>
      </w:r>
      <w:r w:rsidR="00AE37DF" w:rsidRPr="00D53C20">
        <w:t xml:space="preserve">Senko, </w:t>
      </w:r>
      <w:proofErr w:type="spellStart"/>
      <w:r w:rsidR="00AE37DF" w:rsidRPr="00D53C20">
        <w:t>Hulleman</w:t>
      </w:r>
      <w:proofErr w:type="spellEnd"/>
      <w:r w:rsidR="00AE37DF" w:rsidRPr="00D53C20">
        <w:t xml:space="preserve">, &amp; </w:t>
      </w:r>
      <w:proofErr w:type="spellStart"/>
      <w:r w:rsidR="00AE37DF" w:rsidRPr="00D53C20">
        <w:t>Harackiewicz</w:t>
      </w:r>
      <w:proofErr w:type="spellEnd"/>
      <w:r w:rsidR="00AE37DF" w:rsidRPr="00D53C20">
        <w:t>, 2011</w:t>
      </w:r>
      <w:r w:rsidR="00F75EC5" w:rsidRPr="002452D0">
        <w:t xml:space="preserve">). These goals are generally categorized into one of </w:t>
      </w:r>
      <w:r w:rsidR="00BD6C6A" w:rsidRPr="002452D0">
        <w:t xml:space="preserve">two main </w:t>
      </w:r>
      <w:r w:rsidR="00BD6C6A" w:rsidRPr="00246D1D">
        <w:t>categories</w:t>
      </w:r>
      <w:r w:rsidR="00F75EC5" w:rsidRPr="00246D1D">
        <w:t>: (</w:t>
      </w:r>
      <w:r w:rsidR="00F1152D" w:rsidRPr="00246D1D">
        <w:t>1</w:t>
      </w:r>
      <w:r w:rsidR="00F75EC5" w:rsidRPr="00246D1D">
        <w:t>) Mastery goals (also referred to as learning or task goals) reflect the students’ desire to develop competence or ability by acquiring new knowledge or skills. Mastery goals represent a concern with mastering course content, improving one’s knowledge and skills, seeking new challenges, and learning as an end in itself. (</w:t>
      </w:r>
      <w:r w:rsidR="00F1152D" w:rsidRPr="00246D1D">
        <w:t>2</w:t>
      </w:r>
      <w:r w:rsidR="00F75EC5" w:rsidRPr="00246D1D">
        <w:t>) Performance goals (also referred to as performance</w:t>
      </w:r>
      <w:r w:rsidR="00AA113A">
        <w:t>-</w:t>
      </w:r>
      <w:r w:rsidR="00F75EC5" w:rsidRPr="00246D1D">
        <w:t>approach or ability</w:t>
      </w:r>
      <w:r w:rsidR="00AA113A">
        <w:t>-</w:t>
      </w:r>
      <w:r w:rsidR="00F75EC5" w:rsidRPr="00246D1D">
        <w:t>approach goals) reflect the students’ desire to demonstrate competence or ability relative to others. Performance goals represent a concern with social comparisons, outperforming others, and looking smart</w:t>
      </w:r>
      <w:r w:rsidR="00F1152D" w:rsidRPr="00246D1D">
        <w:t xml:space="preserve"> </w:t>
      </w:r>
      <w:r w:rsidR="00587E2C" w:rsidRPr="00246D1D">
        <w:t>(</w:t>
      </w:r>
      <w:proofErr w:type="spellStart"/>
      <w:r w:rsidR="00587E2C" w:rsidRPr="00246D1D">
        <w:t>Midgley</w:t>
      </w:r>
      <w:proofErr w:type="spellEnd"/>
      <w:r w:rsidR="00587E2C" w:rsidRPr="00246D1D">
        <w:t xml:space="preserve"> et al., 1998; Elliot &amp; </w:t>
      </w:r>
      <w:proofErr w:type="spellStart"/>
      <w:r w:rsidR="00587E2C" w:rsidRPr="00246D1D">
        <w:t>Dweck</w:t>
      </w:r>
      <w:proofErr w:type="spellEnd"/>
      <w:r w:rsidR="00587E2C" w:rsidRPr="00246D1D">
        <w:t xml:space="preserve">, 1988). </w:t>
      </w:r>
      <w:r w:rsidR="00F75EC5" w:rsidRPr="00246D1D">
        <w:t xml:space="preserve">Mastery goals, </w:t>
      </w:r>
      <w:r w:rsidR="00F1152D" w:rsidRPr="00246D1D">
        <w:t xml:space="preserve">that </w:t>
      </w:r>
      <w:r w:rsidR="00F75EC5" w:rsidRPr="00246D1D">
        <w:t xml:space="preserve">focus on increasing competence over time, have been linked to </w:t>
      </w:r>
      <w:r w:rsidR="00C351B4" w:rsidRPr="00246D1D">
        <w:t xml:space="preserve">intrinsic motivation </w:t>
      </w:r>
      <w:r w:rsidR="00F75EC5" w:rsidRPr="00246D1D">
        <w:t>and enjoyment, positive affect, task engagement, deep learning, and persistence (</w:t>
      </w:r>
      <w:r w:rsidR="00346186">
        <w:t>for a review see Senko et al., 2011</w:t>
      </w:r>
      <w:r w:rsidR="00A71E0C" w:rsidRPr="00246D1D">
        <w:rPr>
          <w:lang w:val="en-CA"/>
        </w:rPr>
        <w:t>).</w:t>
      </w:r>
      <w:r w:rsidR="00F75EC5" w:rsidRPr="00246D1D">
        <w:t xml:space="preserve"> </w:t>
      </w:r>
      <w:r w:rsidR="00587E2C" w:rsidRPr="00246D1D">
        <w:t xml:space="preserve">In contrast, </w:t>
      </w:r>
      <w:r w:rsidR="00C351B4" w:rsidRPr="00246D1D">
        <w:t xml:space="preserve">research on </w:t>
      </w:r>
      <w:r w:rsidR="00C351B4" w:rsidRPr="00D53C20">
        <w:t>p</w:t>
      </w:r>
      <w:r w:rsidR="00F75EC5" w:rsidRPr="00D53C20">
        <w:t xml:space="preserve">erformance goals </w:t>
      </w:r>
      <w:r w:rsidR="00C351B4" w:rsidRPr="00D53C20">
        <w:t xml:space="preserve">has </w:t>
      </w:r>
      <w:r w:rsidR="00F75EC5" w:rsidRPr="00D53C20">
        <w:t xml:space="preserve">elicited more controversy </w:t>
      </w:r>
      <w:r w:rsidR="00C351B4" w:rsidRPr="00D53C20">
        <w:t xml:space="preserve">with </w:t>
      </w:r>
      <w:r w:rsidR="00F75EC5" w:rsidRPr="00D53C20">
        <w:t>some researchers hav</w:t>
      </w:r>
      <w:r w:rsidR="00C351B4" w:rsidRPr="00D53C20">
        <w:t>ing</w:t>
      </w:r>
      <w:r w:rsidR="00F75EC5" w:rsidRPr="00D53C20">
        <w:t xml:space="preserve"> characterized them </w:t>
      </w:r>
      <w:r w:rsidR="001D413A">
        <w:t xml:space="preserve">as </w:t>
      </w:r>
      <w:r w:rsidR="00C351B4" w:rsidRPr="00D53C20">
        <w:t>detrimental to</w:t>
      </w:r>
      <w:r w:rsidR="00F75EC5" w:rsidRPr="00D53C20">
        <w:t xml:space="preserve"> interest and </w:t>
      </w:r>
      <w:proofErr w:type="gramStart"/>
      <w:r w:rsidR="00F75EC5" w:rsidRPr="00D53C20">
        <w:t>performance, while others have</w:t>
      </w:r>
      <w:proofErr w:type="gramEnd"/>
      <w:r w:rsidR="00F75EC5" w:rsidRPr="00D53C20">
        <w:t xml:space="preserve"> emphasized positive outcomes (</w:t>
      </w:r>
      <w:r w:rsidR="00F17717" w:rsidRPr="00D53C20">
        <w:t xml:space="preserve">e.g., </w:t>
      </w:r>
      <w:proofErr w:type="spellStart"/>
      <w:r w:rsidR="00F75EC5" w:rsidRPr="00D53C20">
        <w:t>Harackiewicz</w:t>
      </w:r>
      <w:proofErr w:type="spellEnd"/>
      <w:r w:rsidR="00F75EC5" w:rsidRPr="00D53C20">
        <w:t xml:space="preserve">, Barron, </w:t>
      </w:r>
      <w:proofErr w:type="spellStart"/>
      <w:r w:rsidR="00F75EC5" w:rsidRPr="00D53C20">
        <w:t>Pintrich</w:t>
      </w:r>
      <w:proofErr w:type="spellEnd"/>
      <w:r w:rsidR="00F75EC5" w:rsidRPr="00D53C20">
        <w:t xml:space="preserve">, Elliot, &amp; Thrash, 2002). </w:t>
      </w:r>
    </w:p>
    <w:p w14:paraId="50903055" w14:textId="77777777" w:rsidR="00AD7C10" w:rsidRPr="00D53C20" w:rsidRDefault="00AD7C10" w:rsidP="00AD7C10">
      <w:pPr>
        <w:ind w:firstLine="720"/>
        <w:contextualSpacing/>
      </w:pPr>
    </w:p>
    <w:p w14:paraId="512A6637" w14:textId="406405C1" w:rsidR="00087340" w:rsidRDefault="00087340" w:rsidP="00AD7C10">
      <w:pPr>
        <w:pStyle w:val="Heading3"/>
        <w:spacing w:line="240" w:lineRule="auto"/>
        <w:contextualSpacing/>
        <w:rPr>
          <w:b/>
          <w:i w:val="0"/>
        </w:rPr>
      </w:pPr>
      <w:r w:rsidRPr="00CD0241">
        <w:rPr>
          <w:b/>
          <w:i w:val="0"/>
        </w:rPr>
        <w:t>Affect</w:t>
      </w:r>
      <w:r w:rsidR="002452D0">
        <w:rPr>
          <w:b/>
          <w:i w:val="0"/>
        </w:rPr>
        <w:t>, Persistence</w:t>
      </w:r>
      <w:r w:rsidR="00246D1D">
        <w:rPr>
          <w:b/>
          <w:i w:val="0"/>
        </w:rPr>
        <w:t>, and Achievement</w:t>
      </w:r>
      <w:r w:rsidR="002452D0">
        <w:t xml:space="preserve"> </w:t>
      </w:r>
      <w:r w:rsidRPr="00CD0241">
        <w:rPr>
          <w:b/>
          <w:i w:val="0"/>
        </w:rPr>
        <w:t xml:space="preserve">in </w:t>
      </w:r>
      <w:r w:rsidR="00D53C20">
        <w:rPr>
          <w:b/>
          <w:i w:val="0"/>
        </w:rPr>
        <w:t>STEM Education</w:t>
      </w:r>
    </w:p>
    <w:p w14:paraId="469B03DF" w14:textId="77777777" w:rsidR="00AD7C10" w:rsidRPr="00AD7C10" w:rsidRDefault="00AD7C10" w:rsidP="00AD7C10">
      <w:pPr>
        <w:rPr>
          <w:lang w:val="en-CA"/>
        </w:rPr>
      </w:pPr>
    </w:p>
    <w:p w14:paraId="41964429" w14:textId="09C1AD03" w:rsidR="00862353" w:rsidRDefault="002452D0" w:rsidP="00AD7C10">
      <w:pPr>
        <w:ind w:firstLine="720"/>
        <w:contextualSpacing/>
      </w:pPr>
      <w:proofErr w:type="gramStart"/>
      <w:r w:rsidRPr="00CD0241">
        <w:rPr>
          <w:b/>
        </w:rPr>
        <w:t>Academic emotions.</w:t>
      </w:r>
      <w:proofErr w:type="gramEnd"/>
      <w:r>
        <w:t xml:space="preserve"> </w:t>
      </w:r>
      <w:proofErr w:type="spellStart"/>
      <w:r w:rsidR="00087340">
        <w:t>Szulecka</w:t>
      </w:r>
      <w:proofErr w:type="spellEnd"/>
      <w:r w:rsidR="00087340">
        <w:t xml:space="preserve">, </w:t>
      </w:r>
      <w:proofErr w:type="spellStart"/>
      <w:r w:rsidR="00087340">
        <w:t>Springett</w:t>
      </w:r>
      <w:proofErr w:type="spellEnd"/>
      <w:r w:rsidR="00087340">
        <w:t xml:space="preserve">, and de </w:t>
      </w:r>
      <w:proofErr w:type="spellStart"/>
      <w:r w:rsidR="00087340">
        <w:t>Pauw</w:t>
      </w:r>
      <w:proofErr w:type="spellEnd"/>
      <w:r w:rsidR="00087340">
        <w:t xml:space="preserve"> (1987) suggested that the major causes of attrition in first</w:t>
      </w:r>
      <w:r w:rsidR="00AA113A">
        <w:t>-</w:t>
      </w:r>
      <w:r w:rsidR="00087340">
        <w:t>year college students are emotional rather than academic. However, very few studies to date have focused on the emotional experiences of students and how these experiences relate to student success and pursuit of future careers (</w:t>
      </w:r>
      <w:r w:rsidR="004B2DB9">
        <w:t>cf.</w:t>
      </w:r>
      <w:r w:rsidR="00250EA9">
        <w:t xml:space="preserve"> </w:t>
      </w:r>
      <w:proofErr w:type="spellStart"/>
      <w:r w:rsidR="00250EA9">
        <w:t>Pekrun</w:t>
      </w:r>
      <w:proofErr w:type="spellEnd"/>
      <w:r w:rsidR="00250EA9">
        <w:t xml:space="preserve">, </w:t>
      </w:r>
      <w:r w:rsidR="00250EA9">
        <w:rPr>
          <w:lang w:val="fr-CA"/>
        </w:rPr>
        <w:t xml:space="preserve">Elliot, </w:t>
      </w:r>
      <w:r w:rsidR="00250EA9" w:rsidRPr="008947F1">
        <w:rPr>
          <w:lang w:val="fr-CA"/>
        </w:rPr>
        <w:t xml:space="preserve">&amp; </w:t>
      </w:r>
      <w:proofErr w:type="spellStart"/>
      <w:r w:rsidR="00250EA9" w:rsidRPr="008947F1">
        <w:rPr>
          <w:lang w:val="fr-CA"/>
        </w:rPr>
        <w:t>Maier</w:t>
      </w:r>
      <w:proofErr w:type="spellEnd"/>
      <w:r w:rsidR="00250EA9" w:rsidRPr="008947F1">
        <w:rPr>
          <w:lang w:val="fr-CA"/>
        </w:rPr>
        <w:t>,</w:t>
      </w:r>
      <w:r w:rsidR="00597334">
        <w:t xml:space="preserve"> </w:t>
      </w:r>
      <w:r w:rsidR="00087340">
        <w:t xml:space="preserve">2006). This </w:t>
      </w:r>
      <w:r w:rsidR="00E646A1">
        <w:t xml:space="preserve">lack of research interest is </w:t>
      </w:r>
      <w:r w:rsidR="00087340">
        <w:t>surprising given that emotion</w:t>
      </w:r>
      <w:r w:rsidR="00B76A0F">
        <w:t>s</w:t>
      </w:r>
      <w:r w:rsidR="00087340">
        <w:t xml:space="preserve"> </w:t>
      </w:r>
      <w:r w:rsidR="00B76A0F">
        <w:t xml:space="preserve">are </w:t>
      </w:r>
      <w:r w:rsidR="00087340">
        <w:t>often cited as a key element in theories of self</w:t>
      </w:r>
      <w:r w:rsidR="00AA113A">
        <w:t>-</w:t>
      </w:r>
      <w:r w:rsidR="00087340">
        <w:t xml:space="preserve">efficacy and motivation. According to social cognitive theory (Bandura, 1986), beliefs about </w:t>
      </w:r>
      <w:r w:rsidR="00B76A0F">
        <w:t>one’s</w:t>
      </w:r>
      <w:r w:rsidR="00087340">
        <w:t xml:space="preserve"> abilities </w:t>
      </w:r>
      <w:r w:rsidR="00B76A0F">
        <w:t xml:space="preserve">are </w:t>
      </w:r>
      <w:r w:rsidR="00087340">
        <w:t>derive</w:t>
      </w:r>
      <w:r w:rsidR="00B76A0F">
        <w:t>d</w:t>
      </w:r>
      <w:r w:rsidR="00087340">
        <w:t xml:space="preserve"> from four informational sources, one of which is emotional arousal. If an individual feels anxious, depressed, or ineffectual while performing an academic task, he or she is likely to infer that they are not competent at that task. </w:t>
      </w:r>
      <w:r w:rsidR="00394BF4">
        <w:t>Conversely</w:t>
      </w:r>
      <w:r w:rsidR="00087340">
        <w:t>, feelings of happiness, joy, or excitement may enhance perceived self</w:t>
      </w:r>
      <w:r w:rsidR="00AA113A">
        <w:t>-</w:t>
      </w:r>
      <w:r w:rsidR="00087340">
        <w:t xml:space="preserve">efficacy (Lent, Brown, &amp; Hackett, 1994). Students’ beliefs about their ability to manage academic task demands </w:t>
      </w:r>
      <w:r w:rsidR="005D756F">
        <w:t xml:space="preserve">may also </w:t>
      </w:r>
      <w:r w:rsidR="00087340">
        <w:t xml:space="preserve">influence </w:t>
      </w:r>
      <w:r w:rsidR="005D756F">
        <w:t xml:space="preserve">positive and negative emotions in the classroom </w:t>
      </w:r>
      <w:r w:rsidR="00087340">
        <w:t>(Bandura, 1997). Therefore, not only does affect inform self</w:t>
      </w:r>
      <w:r w:rsidR="00AA113A">
        <w:t>-</w:t>
      </w:r>
      <w:r w:rsidR="00087340">
        <w:t xml:space="preserve">efficacy beliefs, but these beliefs, in turn, influence one’s affect. </w:t>
      </w:r>
    </w:p>
    <w:p w14:paraId="34987DCF" w14:textId="5C397311" w:rsidR="00087340" w:rsidRDefault="00862353" w:rsidP="00AD7C10">
      <w:pPr>
        <w:ind w:firstLine="720"/>
        <w:contextualSpacing/>
      </w:pPr>
      <w:r>
        <w:t>With respect to the science domain</w:t>
      </w:r>
      <w:r w:rsidR="00087340">
        <w:t xml:space="preserve">, </w:t>
      </w:r>
      <w:r>
        <w:t xml:space="preserve">students </w:t>
      </w:r>
      <w:r w:rsidR="00087340">
        <w:t>with high science self</w:t>
      </w:r>
      <w:r w:rsidR="00AA113A">
        <w:t>-</w:t>
      </w:r>
      <w:r w:rsidR="00087340">
        <w:t xml:space="preserve">efficacy </w:t>
      </w:r>
      <w:r w:rsidR="000A1821">
        <w:t xml:space="preserve">should be </w:t>
      </w:r>
      <w:r w:rsidR="00087340">
        <w:t>less likely to become anxious or depressed while performing a science</w:t>
      </w:r>
      <w:r w:rsidR="00AA113A">
        <w:t>-</w:t>
      </w:r>
      <w:r w:rsidR="00087340">
        <w:t xml:space="preserve">related task because they are more likely to expect success and </w:t>
      </w:r>
      <w:r w:rsidR="00E81829">
        <w:t>experience</w:t>
      </w:r>
      <w:r w:rsidR="00087340">
        <w:t xml:space="preserve"> positive</w:t>
      </w:r>
      <w:r w:rsidR="00E81829">
        <w:t xml:space="preserve"> affect</w:t>
      </w:r>
      <w:r w:rsidR="00087340">
        <w:t xml:space="preserve"> while performing the task. Similarly, </w:t>
      </w:r>
      <w:r>
        <w:t xml:space="preserve">students </w:t>
      </w:r>
      <w:r w:rsidR="00087340">
        <w:t>with low self</w:t>
      </w:r>
      <w:r w:rsidR="00AA113A">
        <w:t>-</w:t>
      </w:r>
      <w:r w:rsidR="00087340">
        <w:t xml:space="preserve">efficacy </w:t>
      </w:r>
      <w:r w:rsidR="005313B4">
        <w:t xml:space="preserve">are </w:t>
      </w:r>
      <w:r w:rsidR="00087340">
        <w:t xml:space="preserve">more likely to perceive </w:t>
      </w:r>
      <w:r w:rsidR="005313B4">
        <w:t xml:space="preserve">the same </w:t>
      </w:r>
      <w:r w:rsidR="00087340">
        <w:t>task as more difficult</w:t>
      </w:r>
      <w:r w:rsidR="005313B4">
        <w:t xml:space="preserve">, </w:t>
      </w:r>
      <w:r w:rsidR="00087340">
        <w:t xml:space="preserve">to expect </w:t>
      </w:r>
      <w:r w:rsidR="005313B4">
        <w:t>poorer performance,</w:t>
      </w:r>
      <w:r w:rsidR="00087340">
        <w:t xml:space="preserve"> and therefore </w:t>
      </w:r>
      <w:r w:rsidR="005313B4">
        <w:t xml:space="preserve">be </w:t>
      </w:r>
      <w:r w:rsidR="00087340">
        <w:t xml:space="preserve">more likely to feel depressed or anxious while performing the task. In one of the few studies that focus on affect as a predictor of student success, Pritchard and Wilson (2003) found </w:t>
      </w:r>
      <w:r w:rsidR="005066F2">
        <w:t xml:space="preserve">undergraduate </w:t>
      </w:r>
      <w:r w:rsidR="005313B4">
        <w:t xml:space="preserve">students’ emotional health to predict performance and persistence over and above the effects of more traditional </w:t>
      </w:r>
      <w:r w:rsidR="00087340">
        <w:t xml:space="preserve">demographic and academic </w:t>
      </w:r>
      <w:r w:rsidR="005313B4">
        <w:t>indicators</w:t>
      </w:r>
      <w:r w:rsidR="00087340">
        <w:t xml:space="preserve">. </w:t>
      </w:r>
      <w:r w:rsidR="005313B4">
        <w:t>With respect to the effects of c</w:t>
      </w:r>
      <w:r w:rsidR="00087340">
        <w:t>lassroom practices and teach</w:t>
      </w:r>
      <w:r w:rsidR="005313B4">
        <w:t>ing</w:t>
      </w:r>
      <w:r w:rsidR="00087340">
        <w:t xml:space="preserve"> behaviors </w:t>
      </w:r>
      <w:r w:rsidR="005313B4">
        <w:t>on</w:t>
      </w:r>
      <w:r w:rsidR="00087340">
        <w:t xml:space="preserve"> students’ affect</w:t>
      </w:r>
      <w:r w:rsidR="005313B4">
        <w:t>, s</w:t>
      </w:r>
      <w:r w:rsidR="00087340">
        <w:t xml:space="preserve">everal studies </w:t>
      </w:r>
      <w:r w:rsidR="005313B4">
        <w:t>show a</w:t>
      </w:r>
      <w:r w:rsidR="00087340">
        <w:t xml:space="preserve"> positive relationship between teachers’ </w:t>
      </w:r>
      <w:r w:rsidR="005313B4">
        <w:t>support for student autonomy</w:t>
      </w:r>
      <w:r w:rsidR="00087340">
        <w:t xml:space="preserve"> and positive </w:t>
      </w:r>
      <w:r w:rsidR="00AC4525">
        <w:t>emotions</w:t>
      </w:r>
      <w:r w:rsidR="005313B4">
        <w:t xml:space="preserve"> in students</w:t>
      </w:r>
      <w:r w:rsidR="00087340">
        <w:t xml:space="preserve"> (</w:t>
      </w:r>
      <w:proofErr w:type="spellStart"/>
      <w:r w:rsidR="00087340">
        <w:t>Assor</w:t>
      </w:r>
      <w:proofErr w:type="spellEnd"/>
      <w:r w:rsidR="00087340">
        <w:t xml:space="preserve"> </w:t>
      </w:r>
      <w:r w:rsidR="00685043">
        <w:t>et al.</w:t>
      </w:r>
      <w:r w:rsidR="00087340">
        <w:t>, 200</w:t>
      </w:r>
      <w:r w:rsidR="00142714">
        <w:t>5</w:t>
      </w:r>
      <w:r w:rsidR="00087340">
        <w:t xml:space="preserve">). </w:t>
      </w:r>
      <w:r w:rsidR="00A7677D">
        <w:t>As such, s</w:t>
      </w:r>
      <w:r w:rsidR="00087340">
        <w:t xml:space="preserve">tudents in </w:t>
      </w:r>
      <w:r w:rsidR="00087340">
        <w:lastRenderedPageBreak/>
        <w:t xml:space="preserve">autonomous learning environments </w:t>
      </w:r>
      <w:r w:rsidR="00A7677D">
        <w:t xml:space="preserve">tend to </w:t>
      </w:r>
      <w:r w:rsidR="00087340">
        <w:t xml:space="preserve">feel </w:t>
      </w:r>
      <w:r w:rsidR="00A7677D">
        <w:t xml:space="preserve">more </w:t>
      </w:r>
      <w:r w:rsidR="00087340">
        <w:t xml:space="preserve">engaged in their studies, </w:t>
      </w:r>
      <w:r w:rsidR="00A7677D">
        <w:t xml:space="preserve">and therefore are more likely to </w:t>
      </w:r>
      <w:r w:rsidR="00087340">
        <w:t>invest effort in learning, be intrinsically motivated, and show high levels of attention and persistence while studying (</w:t>
      </w:r>
      <w:proofErr w:type="spellStart"/>
      <w:r w:rsidR="00087340">
        <w:t>Assor</w:t>
      </w:r>
      <w:proofErr w:type="spellEnd"/>
      <w:r w:rsidR="00087340">
        <w:t xml:space="preserve"> et al., 2005).</w:t>
      </w:r>
    </w:p>
    <w:p w14:paraId="591F2F29" w14:textId="0738924F" w:rsidR="00087340" w:rsidRDefault="00887FE6" w:rsidP="00AD7C10">
      <w:pPr>
        <w:pStyle w:val="BodyTextIndent3"/>
        <w:spacing w:after="0"/>
        <w:ind w:left="0" w:firstLine="720"/>
        <w:contextualSpacing/>
        <w:rPr>
          <w:bCs/>
          <w:sz w:val="24"/>
          <w:szCs w:val="24"/>
        </w:rPr>
      </w:pPr>
      <w:r>
        <w:rPr>
          <w:bCs/>
          <w:sz w:val="24"/>
          <w:szCs w:val="24"/>
        </w:rPr>
        <w:t>S</w:t>
      </w:r>
      <w:r w:rsidR="00087340" w:rsidRPr="00087340">
        <w:rPr>
          <w:bCs/>
          <w:sz w:val="24"/>
          <w:szCs w:val="24"/>
        </w:rPr>
        <w:t xml:space="preserve">tudents’ achievement goals </w:t>
      </w:r>
      <w:r w:rsidR="00F40B11">
        <w:rPr>
          <w:bCs/>
          <w:sz w:val="24"/>
          <w:szCs w:val="24"/>
        </w:rPr>
        <w:t xml:space="preserve">and perceptions of competence </w:t>
      </w:r>
      <w:r>
        <w:rPr>
          <w:bCs/>
          <w:sz w:val="24"/>
          <w:szCs w:val="24"/>
        </w:rPr>
        <w:t xml:space="preserve">are also assumed to </w:t>
      </w:r>
      <w:r w:rsidR="00087340" w:rsidRPr="00087340">
        <w:rPr>
          <w:bCs/>
          <w:sz w:val="24"/>
          <w:szCs w:val="24"/>
        </w:rPr>
        <w:t>influence student</w:t>
      </w:r>
      <w:r>
        <w:rPr>
          <w:bCs/>
          <w:sz w:val="24"/>
          <w:szCs w:val="24"/>
        </w:rPr>
        <w:t xml:space="preserve">s’ emotions </w:t>
      </w:r>
      <w:r w:rsidR="00087340" w:rsidRPr="00087340">
        <w:rPr>
          <w:bCs/>
          <w:sz w:val="24"/>
          <w:szCs w:val="24"/>
        </w:rPr>
        <w:t>(</w:t>
      </w:r>
      <w:proofErr w:type="spellStart"/>
      <w:r w:rsidR="00087340" w:rsidRPr="00087340">
        <w:rPr>
          <w:bCs/>
          <w:sz w:val="24"/>
          <w:szCs w:val="24"/>
        </w:rPr>
        <w:t>Pekrun</w:t>
      </w:r>
      <w:proofErr w:type="spellEnd"/>
      <w:r w:rsidR="00087340" w:rsidRPr="00087340">
        <w:rPr>
          <w:bCs/>
          <w:sz w:val="24"/>
          <w:szCs w:val="24"/>
        </w:rPr>
        <w:t xml:space="preserve"> et al., 2006)</w:t>
      </w:r>
      <w:r>
        <w:rPr>
          <w:bCs/>
          <w:sz w:val="24"/>
          <w:szCs w:val="24"/>
        </w:rPr>
        <w:t>, such that s</w:t>
      </w:r>
      <w:r w:rsidR="00087340" w:rsidRPr="00087340">
        <w:rPr>
          <w:bCs/>
          <w:sz w:val="24"/>
          <w:szCs w:val="24"/>
        </w:rPr>
        <w:t xml:space="preserve">tudents who adopt mastery goals </w:t>
      </w:r>
      <w:r w:rsidR="00FF6B60">
        <w:rPr>
          <w:bCs/>
          <w:sz w:val="24"/>
          <w:szCs w:val="24"/>
        </w:rPr>
        <w:t xml:space="preserve">(learning for its own sake) </w:t>
      </w:r>
      <w:r w:rsidR="00087340" w:rsidRPr="00087340">
        <w:rPr>
          <w:bCs/>
          <w:sz w:val="24"/>
          <w:szCs w:val="24"/>
        </w:rPr>
        <w:t xml:space="preserve">and feel competent in their ability to succeed in science </w:t>
      </w:r>
      <w:r w:rsidR="00F40B11">
        <w:rPr>
          <w:bCs/>
          <w:sz w:val="24"/>
          <w:szCs w:val="24"/>
        </w:rPr>
        <w:t>(e.g., self</w:t>
      </w:r>
      <w:r w:rsidR="00AA113A">
        <w:rPr>
          <w:bCs/>
          <w:sz w:val="24"/>
          <w:szCs w:val="24"/>
        </w:rPr>
        <w:t>-</w:t>
      </w:r>
      <w:r w:rsidR="00F40B11">
        <w:rPr>
          <w:bCs/>
          <w:sz w:val="24"/>
          <w:szCs w:val="24"/>
        </w:rPr>
        <w:t xml:space="preserve">efficacy) </w:t>
      </w:r>
      <w:r>
        <w:rPr>
          <w:bCs/>
          <w:sz w:val="24"/>
          <w:szCs w:val="24"/>
        </w:rPr>
        <w:t>should be more</w:t>
      </w:r>
      <w:r w:rsidRPr="00087340">
        <w:rPr>
          <w:bCs/>
          <w:sz w:val="24"/>
          <w:szCs w:val="24"/>
        </w:rPr>
        <w:t xml:space="preserve"> </w:t>
      </w:r>
      <w:r w:rsidR="00087340" w:rsidRPr="00087340">
        <w:rPr>
          <w:bCs/>
          <w:sz w:val="24"/>
          <w:szCs w:val="24"/>
        </w:rPr>
        <w:t xml:space="preserve">likely to experience positive </w:t>
      </w:r>
      <w:r>
        <w:rPr>
          <w:bCs/>
          <w:sz w:val="24"/>
          <w:szCs w:val="24"/>
        </w:rPr>
        <w:t>affect</w:t>
      </w:r>
      <w:r w:rsidRPr="00087340">
        <w:rPr>
          <w:bCs/>
          <w:sz w:val="24"/>
          <w:szCs w:val="24"/>
        </w:rPr>
        <w:t xml:space="preserve"> </w:t>
      </w:r>
      <w:r w:rsidR="00087340" w:rsidRPr="00087340">
        <w:rPr>
          <w:bCs/>
          <w:sz w:val="24"/>
          <w:szCs w:val="24"/>
        </w:rPr>
        <w:t>in</w:t>
      </w:r>
      <w:r w:rsidR="006C7E81">
        <w:rPr>
          <w:bCs/>
          <w:sz w:val="24"/>
          <w:szCs w:val="24"/>
        </w:rPr>
        <w:t xml:space="preserve"> science</w:t>
      </w:r>
      <w:r w:rsidR="00087340" w:rsidRPr="00087340">
        <w:rPr>
          <w:bCs/>
          <w:sz w:val="24"/>
          <w:szCs w:val="24"/>
        </w:rPr>
        <w:t xml:space="preserve"> classes. Therefore, these goals </w:t>
      </w:r>
      <w:r w:rsidR="00682CAE">
        <w:rPr>
          <w:bCs/>
          <w:sz w:val="24"/>
          <w:szCs w:val="24"/>
        </w:rPr>
        <w:t xml:space="preserve">and competence beliefs </w:t>
      </w:r>
      <w:r w:rsidR="00087340" w:rsidRPr="00087340">
        <w:rPr>
          <w:bCs/>
          <w:sz w:val="24"/>
          <w:szCs w:val="24"/>
        </w:rPr>
        <w:t xml:space="preserve">are expected </w:t>
      </w:r>
      <w:r w:rsidR="00DC2018">
        <w:rPr>
          <w:bCs/>
          <w:sz w:val="24"/>
          <w:szCs w:val="24"/>
        </w:rPr>
        <w:t xml:space="preserve">to </w:t>
      </w:r>
      <w:r w:rsidR="00F342EC">
        <w:rPr>
          <w:bCs/>
          <w:sz w:val="24"/>
          <w:szCs w:val="24"/>
        </w:rPr>
        <w:t>positively</w:t>
      </w:r>
      <w:r w:rsidR="00087340" w:rsidRPr="00087340">
        <w:rPr>
          <w:bCs/>
          <w:sz w:val="24"/>
          <w:szCs w:val="24"/>
        </w:rPr>
        <w:t xml:space="preserve"> predict enjoyment of learning </w:t>
      </w:r>
      <w:r w:rsidR="00DC2018">
        <w:rPr>
          <w:bCs/>
          <w:sz w:val="24"/>
          <w:szCs w:val="24"/>
        </w:rPr>
        <w:t>more generally, as well as</w:t>
      </w:r>
      <w:r w:rsidR="00087340" w:rsidRPr="00087340">
        <w:rPr>
          <w:bCs/>
          <w:sz w:val="24"/>
          <w:szCs w:val="24"/>
        </w:rPr>
        <w:t xml:space="preserve"> the experience of positive emotions during </w:t>
      </w:r>
      <w:r w:rsidR="00DC2018">
        <w:rPr>
          <w:bCs/>
          <w:sz w:val="24"/>
          <w:szCs w:val="24"/>
        </w:rPr>
        <w:t>science</w:t>
      </w:r>
      <w:r w:rsidR="00AA113A">
        <w:rPr>
          <w:bCs/>
          <w:sz w:val="24"/>
          <w:szCs w:val="24"/>
        </w:rPr>
        <w:t>-</w:t>
      </w:r>
      <w:r w:rsidR="00087340" w:rsidRPr="00087340">
        <w:rPr>
          <w:bCs/>
          <w:sz w:val="24"/>
          <w:szCs w:val="24"/>
        </w:rPr>
        <w:t>related activities. In contrast, students who are performance</w:t>
      </w:r>
      <w:r w:rsidR="00AA113A">
        <w:rPr>
          <w:bCs/>
          <w:sz w:val="24"/>
          <w:szCs w:val="24"/>
        </w:rPr>
        <w:t>-</w:t>
      </w:r>
      <w:r w:rsidR="00087340" w:rsidRPr="00087340">
        <w:rPr>
          <w:bCs/>
          <w:sz w:val="24"/>
          <w:szCs w:val="24"/>
        </w:rPr>
        <w:t>oriented</w:t>
      </w:r>
      <w:r w:rsidR="00033417">
        <w:rPr>
          <w:bCs/>
          <w:sz w:val="24"/>
          <w:szCs w:val="24"/>
        </w:rPr>
        <w:t xml:space="preserve">, and thus </w:t>
      </w:r>
      <w:r w:rsidR="006D62DA">
        <w:rPr>
          <w:bCs/>
          <w:sz w:val="24"/>
          <w:szCs w:val="24"/>
        </w:rPr>
        <w:t xml:space="preserve">more focused on </w:t>
      </w:r>
      <w:r w:rsidR="00087340" w:rsidRPr="00087340">
        <w:rPr>
          <w:bCs/>
          <w:sz w:val="24"/>
          <w:szCs w:val="24"/>
        </w:rPr>
        <w:t>outperform</w:t>
      </w:r>
      <w:r w:rsidR="006D62DA">
        <w:rPr>
          <w:bCs/>
          <w:sz w:val="24"/>
          <w:szCs w:val="24"/>
        </w:rPr>
        <w:t>ing</w:t>
      </w:r>
      <w:r w:rsidR="00087340" w:rsidRPr="00087340">
        <w:rPr>
          <w:bCs/>
          <w:sz w:val="24"/>
          <w:szCs w:val="24"/>
        </w:rPr>
        <w:t xml:space="preserve"> other</w:t>
      </w:r>
      <w:r w:rsidR="009500F3">
        <w:rPr>
          <w:bCs/>
          <w:sz w:val="24"/>
          <w:szCs w:val="24"/>
        </w:rPr>
        <w:t>s</w:t>
      </w:r>
      <w:r w:rsidR="00087340" w:rsidRPr="00087340">
        <w:rPr>
          <w:bCs/>
          <w:sz w:val="24"/>
          <w:szCs w:val="24"/>
        </w:rPr>
        <w:t xml:space="preserve"> </w:t>
      </w:r>
      <w:r w:rsidR="00033417">
        <w:rPr>
          <w:bCs/>
          <w:sz w:val="24"/>
          <w:szCs w:val="24"/>
        </w:rPr>
        <w:t xml:space="preserve">than accomplishing learning goals, are </w:t>
      </w:r>
      <w:r w:rsidR="00C43E95">
        <w:rPr>
          <w:bCs/>
          <w:sz w:val="24"/>
          <w:szCs w:val="24"/>
        </w:rPr>
        <w:t>more likely to experience negative affect due to the unlikely nature of consistently outperforming others in a demanding science classroom.</w:t>
      </w:r>
    </w:p>
    <w:p w14:paraId="1767E9D5" w14:textId="494B9775" w:rsidR="00087340" w:rsidRDefault="002452D0" w:rsidP="00AD7C10">
      <w:pPr>
        <w:tabs>
          <w:tab w:val="left" w:pos="993"/>
        </w:tabs>
        <w:ind w:firstLine="720"/>
        <w:contextualSpacing/>
        <w:rPr>
          <w:szCs w:val="23"/>
        </w:rPr>
      </w:pPr>
      <w:proofErr w:type="gramStart"/>
      <w:r w:rsidRPr="00CD0241">
        <w:rPr>
          <w:b/>
        </w:rPr>
        <w:t>Achievement and persistence.</w:t>
      </w:r>
      <w:proofErr w:type="gramEnd"/>
      <w:r w:rsidRPr="00CD0241">
        <w:rPr>
          <w:b/>
        </w:rPr>
        <w:t xml:space="preserve"> </w:t>
      </w:r>
      <w:r w:rsidR="00087340">
        <w:t>Bandura (1986) suggest</w:t>
      </w:r>
      <w:r w:rsidR="00781552">
        <w:t>s</w:t>
      </w:r>
      <w:r w:rsidR="00087340">
        <w:t xml:space="preserve"> that among a variety of sources of one’s self</w:t>
      </w:r>
      <w:r w:rsidR="00AA113A">
        <w:t>-</w:t>
      </w:r>
      <w:r w:rsidR="00087340">
        <w:t xml:space="preserve">efficacy beliefs, past performance constitutes the most influential source of efficacy information. This hypothesis was supported in </w:t>
      </w:r>
      <w:r w:rsidR="00781552">
        <w:t>research</w:t>
      </w:r>
      <w:r w:rsidR="00087340">
        <w:t xml:space="preserve"> by </w:t>
      </w:r>
      <w:r w:rsidR="00087340" w:rsidRPr="00CD0241">
        <w:t xml:space="preserve">Lent, Lopez, and </w:t>
      </w:r>
      <w:proofErr w:type="spellStart"/>
      <w:r w:rsidR="00087340" w:rsidRPr="00CD0241">
        <w:t>Bieschke</w:t>
      </w:r>
      <w:proofErr w:type="spellEnd"/>
      <w:r w:rsidR="00087340" w:rsidRPr="00CD0241">
        <w:t xml:space="preserve"> (1991)</w:t>
      </w:r>
      <w:r w:rsidR="00781552" w:rsidRPr="00867E70">
        <w:t xml:space="preserve"> showing prior achievement to predict self</w:t>
      </w:r>
      <w:r w:rsidR="00AA113A" w:rsidRPr="00867E70">
        <w:t>-</w:t>
      </w:r>
      <w:r w:rsidR="00781552" w:rsidRPr="00867E70">
        <w:t>efficacy better than other sources of competence</w:t>
      </w:r>
      <w:r w:rsidR="00AA113A" w:rsidRPr="00867E70">
        <w:t>-</w:t>
      </w:r>
      <w:r w:rsidR="00781552" w:rsidRPr="00867E70">
        <w:t>related information (</w:t>
      </w:r>
      <w:r w:rsidR="00087340" w:rsidRPr="00867E70">
        <w:t xml:space="preserve">e.g., verbal persuasion) </w:t>
      </w:r>
      <w:r w:rsidR="00781552" w:rsidRPr="00867E70">
        <w:t xml:space="preserve"> and demographic variables (e.g., sex), and</w:t>
      </w:r>
      <w:r w:rsidR="00087340" w:rsidRPr="00867E70">
        <w:t xml:space="preserve"> self</w:t>
      </w:r>
      <w:r w:rsidR="00AA113A" w:rsidRPr="00867E70">
        <w:t>-</w:t>
      </w:r>
      <w:r w:rsidR="00087340" w:rsidRPr="00867E70">
        <w:t xml:space="preserve">efficacy </w:t>
      </w:r>
      <w:r w:rsidR="00781552" w:rsidRPr="00867E70">
        <w:t xml:space="preserve">to </w:t>
      </w:r>
      <w:r w:rsidR="00087340" w:rsidRPr="00867E70">
        <w:t>mediate</w:t>
      </w:r>
      <w:r w:rsidR="00781552" w:rsidRPr="00867E70">
        <w:t xml:space="preserve"> </w:t>
      </w:r>
      <w:r w:rsidR="00087340" w:rsidRPr="00867E70">
        <w:t xml:space="preserve">the effect of prior performance on interest and persistence. Past performance is </w:t>
      </w:r>
      <w:r w:rsidR="00C42B16" w:rsidRPr="00867E70">
        <w:t xml:space="preserve">hypothesized </w:t>
      </w:r>
      <w:r w:rsidR="00087340" w:rsidRPr="00867E70">
        <w:t>to impact one’s self</w:t>
      </w:r>
      <w:r w:rsidR="00AA113A" w:rsidRPr="00867E70">
        <w:t>-</w:t>
      </w:r>
      <w:r w:rsidR="00087340" w:rsidRPr="00867E70">
        <w:t xml:space="preserve">efficacy beliefs, </w:t>
      </w:r>
      <w:r w:rsidR="00EC47FC" w:rsidRPr="00867E70">
        <w:t xml:space="preserve">with </w:t>
      </w:r>
      <w:r w:rsidR="00087340" w:rsidRPr="00867E70">
        <w:t xml:space="preserve">those beliefs, in turn, </w:t>
      </w:r>
      <w:r w:rsidR="00EC47FC" w:rsidRPr="00867E70">
        <w:t xml:space="preserve">assumed to predict </w:t>
      </w:r>
      <w:r w:rsidR="00087340" w:rsidRPr="00867E70">
        <w:t xml:space="preserve">persistence. </w:t>
      </w:r>
      <w:r w:rsidR="004035D1" w:rsidRPr="00867E70">
        <w:t>However, p</w:t>
      </w:r>
      <w:r w:rsidR="00087340" w:rsidRPr="00867E70">
        <w:t>rior performance also has a direct impact on future performance</w:t>
      </w:r>
      <w:r w:rsidR="004035D1" w:rsidRPr="00867E70">
        <w:t xml:space="preserve"> that, </w:t>
      </w:r>
      <w:r w:rsidR="00087340" w:rsidRPr="00867E70">
        <w:t>in turn</w:t>
      </w:r>
      <w:r w:rsidR="004035D1" w:rsidRPr="00867E70">
        <w:t>,</w:t>
      </w:r>
      <w:r w:rsidR="00087340" w:rsidRPr="00867E70">
        <w:t xml:space="preserve"> impacts one’s intent</w:t>
      </w:r>
      <w:r w:rsidR="004035D1" w:rsidRPr="00867E70">
        <w:t>ion</w:t>
      </w:r>
      <w:r w:rsidR="00087340" w:rsidRPr="00867E70">
        <w:t xml:space="preserve"> to persist. </w:t>
      </w:r>
      <w:r w:rsidR="004035D1" w:rsidRPr="00867E70">
        <w:t>Prior</w:t>
      </w:r>
      <w:r w:rsidR="00087340" w:rsidRPr="00867E70">
        <w:t xml:space="preserve"> performance has </w:t>
      </w:r>
      <w:r w:rsidR="004035D1" w:rsidRPr="00867E70">
        <w:t xml:space="preserve">consistently </w:t>
      </w:r>
      <w:r w:rsidR="00087340" w:rsidRPr="00867E70">
        <w:t>been shown to be the strongest predictor of future performance (</w:t>
      </w:r>
      <w:r w:rsidR="003B1ECF" w:rsidRPr="00867E70">
        <w:t xml:space="preserve">e.g., </w:t>
      </w:r>
      <w:proofErr w:type="spellStart"/>
      <w:r w:rsidR="00087340" w:rsidRPr="00CD0241">
        <w:t>Grandy</w:t>
      </w:r>
      <w:proofErr w:type="spellEnd"/>
      <w:r w:rsidR="00087340" w:rsidRPr="00CD0241">
        <w:t>, 1998)</w:t>
      </w:r>
      <w:r w:rsidR="004035D1" w:rsidRPr="00CD0241">
        <w:t xml:space="preserve">, </w:t>
      </w:r>
      <w:r w:rsidR="007961D7" w:rsidRPr="00867E70">
        <w:t>with this</w:t>
      </w:r>
      <w:r w:rsidR="007961D7">
        <w:t xml:space="preserve"> effect likely due to </w:t>
      </w:r>
      <w:r w:rsidR="00087340">
        <w:t xml:space="preserve">students who experience academic success in mathematics and science courses </w:t>
      </w:r>
      <w:r w:rsidR="007961D7">
        <w:t xml:space="preserve">being </w:t>
      </w:r>
      <w:r w:rsidR="00087340">
        <w:t xml:space="preserve">more likely to infer that they have the capability to continue to succeed in </w:t>
      </w:r>
      <w:r w:rsidR="007961D7">
        <w:t>this domain.</w:t>
      </w:r>
      <w:r w:rsidR="00604C79">
        <w:t xml:space="preserve"> Whereas research based on </w:t>
      </w:r>
      <w:r w:rsidR="00604C79" w:rsidRPr="00CD0241">
        <w:rPr>
          <w:bCs/>
        </w:rPr>
        <w:t xml:space="preserve">the </w:t>
      </w:r>
      <w:r w:rsidR="00DF4B55">
        <w:rPr>
          <w:bCs/>
        </w:rPr>
        <w:t>well</w:t>
      </w:r>
      <w:r w:rsidR="00AA113A">
        <w:rPr>
          <w:bCs/>
        </w:rPr>
        <w:t>-</w:t>
      </w:r>
      <w:r w:rsidR="00DF4B55">
        <w:rPr>
          <w:bCs/>
        </w:rPr>
        <w:t xml:space="preserve">known </w:t>
      </w:r>
      <w:r w:rsidR="00604C79">
        <w:rPr>
          <w:bCs/>
        </w:rPr>
        <w:t>25</w:t>
      </w:r>
      <w:r w:rsidR="00AA113A">
        <w:rPr>
          <w:bCs/>
        </w:rPr>
        <w:t>-</w:t>
      </w:r>
      <w:r w:rsidR="00604C79">
        <w:rPr>
          <w:bCs/>
        </w:rPr>
        <w:t>year</w:t>
      </w:r>
      <w:r w:rsidR="00087340">
        <w:t xml:space="preserve"> Study of Mathematically Precocious Youth (SMPY; </w:t>
      </w:r>
      <w:proofErr w:type="spellStart"/>
      <w:r w:rsidR="00087340">
        <w:t>Benbow</w:t>
      </w:r>
      <w:proofErr w:type="spellEnd"/>
      <w:r w:rsidR="00087340">
        <w:t xml:space="preserve"> &amp; Stanley, 1982</w:t>
      </w:r>
      <w:r w:rsidR="00604C79">
        <w:t>;</w:t>
      </w:r>
      <w:r w:rsidR="00087340">
        <w:t xml:space="preserve"> 5,000 </w:t>
      </w:r>
      <w:r w:rsidR="00604C79">
        <w:t>students)</w:t>
      </w:r>
      <w:r w:rsidR="00087340">
        <w:t xml:space="preserve"> </w:t>
      </w:r>
      <w:r w:rsidR="00604C79">
        <w:t>showed n</w:t>
      </w:r>
      <w:r w:rsidR="00087340">
        <w:rPr>
          <w:szCs w:val="23"/>
        </w:rPr>
        <w:t>o overall sex differences in courses tak</w:t>
      </w:r>
      <w:r w:rsidR="003B1ECF">
        <w:rPr>
          <w:szCs w:val="23"/>
        </w:rPr>
        <w:t>en</w:t>
      </w:r>
      <w:r w:rsidR="00087340">
        <w:rPr>
          <w:szCs w:val="23"/>
        </w:rPr>
        <w:t xml:space="preserve"> or course grades in the sciences, sex differences </w:t>
      </w:r>
      <w:r w:rsidR="00087340">
        <w:t>favoring males on science achievement tests</w:t>
      </w:r>
      <w:r w:rsidR="00604C79">
        <w:t xml:space="preserve"> (i.e., </w:t>
      </w:r>
      <w:r w:rsidR="00087340">
        <w:t>mathematics portion of the Scholastic Aptitude Test</w:t>
      </w:r>
      <w:r w:rsidR="00604C79">
        <w:t>) suggest that exploring sex differences in how persistence is affected by achievement may be warranted</w:t>
      </w:r>
      <w:r w:rsidR="00437EF5">
        <w:rPr>
          <w:szCs w:val="23"/>
        </w:rPr>
        <w:t>.</w:t>
      </w:r>
    </w:p>
    <w:p w14:paraId="7656F37F" w14:textId="77777777" w:rsidR="00AD7C10" w:rsidRDefault="00AD7C10" w:rsidP="00AD7C10">
      <w:pPr>
        <w:tabs>
          <w:tab w:val="left" w:pos="993"/>
        </w:tabs>
        <w:ind w:firstLine="720"/>
        <w:contextualSpacing/>
      </w:pPr>
    </w:p>
    <w:p w14:paraId="5B4559A9" w14:textId="1F95BFD3" w:rsidR="00087340" w:rsidRDefault="00EB7542" w:rsidP="00AD7C10">
      <w:pPr>
        <w:pStyle w:val="Heading1"/>
        <w:spacing w:before="0"/>
        <w:contextualSpacing/>
        <w:rPr>
          <w:rFonts w:ascii="Times New Roman" w:hAnsi="Times New Roman" w:cs="Times New Roman"/>
          <w:color w:val="000000" w:themeColor="text1"/>
          <w:sz w:val="24"/>
          <w:szCs w:val="24"/>
        </w:rPr>
      </w:pPr>
      <w:bookmarkStart w:id="1" w:name="_MON_1255424036"/>
      <w:bookmarkStart w:id="2" w:name="_MON_1255080066"/>
      <w:bookmarkStart w:id="3" w:name="_MON_1255080110"/>
      <w:bookmarkEnd w:id="1"/>
      <w:bookmarkEnd w:id="2"/>
      <w:bookmarkEnd w:id="3"/>
      <w:r>
        <w:rPr>
          <w:rFonts w:ascii="Times New Roman" w:hAnsi="Times New Roman" w:cs="Times New Roman"/>
          <w:color w:val="000000" w:themeColor="text1"/>
          <w:sz w:val="24"/>
          <w:szCs w:val="24"/>
        </w:rPr>
        <w:t>T</w:t>
      </w:r>
      <w:r w:rsidR="002A753D" w:rsidRPr="00CD0241">
        <w:rPr>
          <w:rFonts w:ascii="Times New Roman" w:hAnsi="Times New Roman" w:cs="Times New Roman"/>
          <w:color w:val="000000" w:themeColor="text1"/>
          <w:sz w:val="24"/>
          <w:szCs w:val="24"/>
        </w:rPr>
        <w:t xml:space="preserve">he </w:t>
      </w:r>
      <w:r>
        <w:rPr>
          <w:rFonts w:ascii="Times New Roman" w:hAnsi="Times New Roman" w:cs="Times New Roman"/>
          <w:color w:val="000000" w:themeColor="text1"/>
          <w:sz w:val="24"/>
          <w:szCs w:val="24"/>
        </w:rPr>
        <w:t>P</w:t>
      </w:r>
      <w:r w:rsidR="002A753D" w:rsidRPr="00CD0241">
        <w:rPr>
          <w:rFonts w:ascii="Times New Roman" w:hAnsi="Times New Roman" w:cs="Times New Roman"/>
          <w:color w:val="000000" w:themeColor="text1"/>
          <w:sz w:val="24"/>
          <w:szCs w:val="24"/>
        </w:rPr>
        <w:t xml:space="preserve">resent </w:t>
      </w:r>
      <w:r>
        <w:rPr>
          <w:rFonts w:ascii="Times New Roman" w:hAnsi="Times New Roman" w:cs="Times New Roman"/>
          <w:color w:val="000000" w:themeColor="text1"/>
          <w:sz w:val="24"/>
          <w:szCs w:val="24"/>
        </w:rPr>
        <w:t>S</w:t>
      </w:r>
      <w:r w:rsidR="002A753D" w:rsidRPr="00CD0241">
        <w:rPr>
          <w:rFonts w:ascii="Times New Roman" w:hAnsi="Times New Roman" w:cs="Times New Roman"/>
          <w:color w:val="000000" w:themeColor="text1"/>
          <w:sz w:val="24"/>
          <w:szCs w:val="24"/>
        </w:rPr>
        <w:t>tudy</w:t>
      </w:r>
    </w:p>
    <w:p w14:paraId="00C8357E" w14:textId="77777777" w:rsidR="00AD7C10" w:rsidRPr="00AD7C10" w:rsidRDefault="00AD7C10" w:rsidP="00AD7C10"/>
    <w:p w14:paraId="5EEED3BA" w14:textId="14492F47" w:rsidR="00B82C02" w:rsidRPr="00CD0241" w:rsidRDefault="007E13BE" w:rsidP="00AD7C10">
      <w:pPr>
        <w:shd w:val="clear" w:color="auto" w:fill="FFFFFF"/>
        <w:ind w:firstLine="720"/>
        <w:contextualSpacing/>
        <w:textAlignment w:val="baseline"/>
        <w:rPr>
          <w:rFonts w:ascii="Helvetica Neue" w:hAnsi="Helvetica Neue"/>
          <w:color w:val="000000"/>
          <w:sz w:val="122"/>
          <w:szCs w:val="122"/>
        </w:rPr>
      </w:pPr>
      <w:r>
        <w:t xml:space="preserve">To address the underrepresentation of females in STEM disciplines, </w:t>
      </w:r>
      <w:r w:rsidR="000A4B90">
        <w:t>and specifically</w:t>
      </w:r>
      <w:r>
        <w:t xml:space="preserve"> </w:t>
      </w:r>
      <w:r w:rsidR="000A4B90">
        <w:t>gender differences in</w:t>
      </w:r>
      <w:r>
        <w:t xml:space="preserve"> </w:t>
      </w:r>
      <w:r w:rsidR="000A4B90">
        <w:t xml:space="preserve">performance and persistence among </w:t>
      </w:r>
      <w:r>
        <w:t xml:space="preserve">Quebec’s CEGEP </w:t>
      </w:r>
      <w:r w:rsidR="000A4B90">
        <w:t>students in science programs</w:t>
      </w:r>
      <w:r>
        <w:t xml:space="preserve">, </w:t>
      </w:r>
      <w:r w:rsidR="000A4B90">
        <w:t xml:space="preserve">the present study evaluated the effects of student motivation and </w:t>
      </w:r>
      <w:proofErr w:type="spellStart"/>
      <w:r w:rsidR="000A4B90">
        <w:t>affect</w:t>
      </w:r>
      <w:proofErr w:type="spellEnd"/>
      <w:r w:rsidR="000A4B90">
        <w:t xml:space="preserve"> on achievement and attrition as informed by research on self</w:t>
      </w:r>
      <w:r w:rsidR="00AA113A">
        <w:t>-</w:t>
      </w:r>
      <w:r w:rsidR="000A4B90">
        <w:t>determination, self</w:t>
      </w:r>
      <w:r w:rsidR="00AA113A">
        <w:t>-</w:t>
      </w:r>
      <w:r w:rsidR="000A4B90">
        <w:t xml:space="preserve">efficacy, and achievement goals. </w:t>
      </w:r>
      <w:r w:rsidR="001B5C84">
        <w:t xml:space="preserve">Based on the </w:t>
      </w:r>
      <w:r w:rsidR="00AF48D9">
        <w:t>extant research</w:t>
      </w:r>
      <w:r w:rsidR="001B5C84">
        <w:t xml:space="preserve"> literature, a number of direct relationships were predicted</w:t>
      </w:r>
      <w:r w:rsidR="000B5ECE">
        <w:t xml:space="preserve"> and evaluated using structural equation modeling</w:t>
      </w:r>
      <w:r w:rsidR="001B5C84">
        <w:t>. A</w:t>
      </w:r>
      <w:r w:rsidR="000B5ECE">
        <w:t>s an indicator of students’ perceptions of the motivating nature of their instructional context, a</w:t>
      </w:r>
      <w:r w:rsidR="001B5C84">
        <w:t>utonomy</w:t>
      </w:r>
      <w:r w:rsidR="0075710C">
        <w:t xml:space="preserve"> </w:t>
      </w:r>
      <w:r w:rsidR="001B5C84">
        <w:t xml:space="preserve">support was expected to positively </w:t>
      </w:r>
      <w:r w:rsidR="000B5ECE">
        <w:t>predict</w:t>
      </w:r>
      <w:r w:rsidR="001B5C84">
        <w:t xml:space="preserve"> intrinsic motivation (1a) and positive affect (1b) but negatively </w:t>
      </w:r>
      <w:r w:rsidR="000B5ECE">
        <w:t>predict</w:t>
      </w:r>
      <w:r w:rsidR="001B5C84">
        <w:t xml:space="preserve"> negative affect (1c). </w:t>
      </w:r>
      <w:r w:rsidR="000B5ECE">
        <w:t>Concerning self</w:t>
      </w:r>
      <w:r w:rsidR="00AA113A">
        <w:t>-</w:t>
      </w:r>
      <w:r w:rsidR="000B5ECE">
        <w:t>relevant motivational variables, s</w:t>
      </w:r>
      <w:r w:rsidR="001B5C84">
        <w:t>elf</w:t>
      </w:r>
      <w:r w:rsidR="00AA113A">
        <w:t>-</w:t>
      </w:r>
      <w:r w:rsidR="001B5C84">
        <w:t xml:space="preserve">efficacy was </w:t>
      </w:r>
      <w:r w:rsidR="000B5ECE">
        <w:t>expected to positively predict</w:t>
      </w:r>
      <w:r w:rsidR="001B5C84">
        <w:t xml:space="preserve"> intrinsic motivation (2a) and positive affect (2b), </w:t>
      </w:r>
      <w:r w:rsidR="000B5ECE">
        <w:t>negatively predict</w:t>
      </w:r>
      <w:r w:rsidR="001B5C84">
        <w:t xml:space="preserve"> neg</w:t>
      </w:r>
      <w:r w:rsidR="000B5ECE">
        <w:t>ative affect (2c), and positively predict achievement (2d). Mastery goals were</w:t>
      </w:r>
      <w:r w:rsidR="001B5C84">
        <w:t xml:space="preserve"> expected to positively </w:t>
      </w:r>
      <w:r w:rsidR="000B5ECE">
        <w:t>predict</w:t>
      </w:r>
      <w:r w:rsidR="001B5C84">
        <w:t xml:space="preserve"> intrinsic motivation (3a) and positive affect (3b) </w:t>
      </w:r>
      <w:r w:rsidR="00DF63D3">
        <w:t>whereas</w:t>
      </w:r>
      <w:r w:rsidR="001B5C84">
        <w:t xml:space="preserve"> performance goal</w:t>
      </w:r>
      <w:r w:rsidR="00DF63D3">
        <w:t>s</w:t>
      </w:r>
      <w:r w:rsidR="001B5C84">
        <w:t xml:space="preserve"> </w:t>
      </w:r>
      <w:r w:rsidR="00DF63D3">
        <w:t>were</w:t>
      </w:r>
      <w:r w:rsidR="001B5C84">
        <w:t xml:space="preserve"> expected to positively </w:t>
      </w:r>
      <w:r w:rsidR="00DF63D3">
        <w:t>predict</w:t>
      </w:r>
      <w:r w:rsidR="001B5C84">
        <w:t xml:space="preserve"> negative affect (3c) and achievement (3d). </w:t>
      </w:r>
      <w:r w:rsidR="00DF63D3">
        <w:t xml:space="preserve">Consistent with present research showing emotions to mediate the effects of motivational </w:t>
      </w:r>
      <w:r w:rsidR="00DF63D3">
        <w:lastRenderedPageBreak/>
        <w:t xml:space="preserve">variables on </w:t>
      </w:r>
      <w:r w:rsidR="00C65B31">
        <w:t>achievement</w:t>
      </w:r>
      <w:r w:rsidR="00DF63D3">
        <w:t xml:space="preserve"> (</w:t>
      </w:r>
      <w:r w:rsidR="00C65B31">
        <w:t xml:space="preserve">e.g., </w:t>
      </w:r>
      <w:r w:rsidR="00C65B31" w:rsidRPr="00CD0241">
        <w:rPr>
          <w:color w:val="000000"/>
          <w:bdr w:val="none" w:sz="0" w:space="0" w:color="auto" w:frame="1"/>
        </w:rPr>
        <w:t>Villavicencio,</w:t>
      </w:r>
      <w:r w:rsidR="00C65B31" w:rsidRPr="00CD0241">
        <w:rPr>
          <w:rFonts w:eastAsiaTheme="minorHAnsi" w:cstheme="minorBidi"/>
          <w:color w:val="000000"/>
          <w:bdr w:val="none" w:sz="0" w:space="0" w:color="auto" w:frame="1"/>
        </w:rPr>
        <w:t> </w:t>
      </w:r>
      <w:r w:rsidR="00C65B31">
        <w:rPr>
          <w:color w:val="000000"/>
          <w:bdr w:val="none" w:sz="0" w:space="0" w:color="auto" w:frame="1"/>
        </w:rPr>
        <w:t>2011)</w:t>
      </w:r>
      <w:r w:rsidR="00DF63D3">
        <w:t>, p</w:t>
      </w:r>
      <w:r w:rsidR="001B5C84">
        <w:t xml:space="preserve">ersistence was </w:t>
      </w:r>
      <w:r w:rsidR="00DF63D3">
        <w:t>expected to be positively predicted by</w:t>
      </w:r>
      <w:r w:rsidR="001B5C84">
        <w:t xml:space="preserve"> positive affect (4a) </w:t>
      </w:r>
      <w:r w:rsidR="00DF63D3">
        <w:t xml:space="preserve">and intrinsic motivation (4b), </w:t>
      </w:r>
      <w:r w:rsidR="001B5C84">
        <w:t xml:space="preserve">and </w:t>
      </w:r>
      <w:r w:rsidR="00DF63D3">
        <w:t>negatively predicted by negative affect (4c)</w:t>
      </w:r>
      <w:r w:rsidR="001B5C84" w:rsidRPr="005C7D6E">
        <w:rPr>
          <w:lang w:val="en-CA"/>
        </w:rPr>
        <w:t xml:space="preserve">. </w:t>
      </w:r>
      <w:r w:rsidR="001B5C84">
        <w:t>Finally, achievement</w:t>
      </w:r>
      <w:r w:rsidR="00D824BA">
        <w:t xml:space="preserve"> was expected to positively predict academic persistence (5</w:t>
      </w:r>
      <w:r w:rsidR="004E439E">
        <w:t>), with the final analytical model evaluated for the total sample</w:t>
      </w:r>
      <w:r w:rsidR="00EB7C69">
        <w:t>,</w:t>
      </w:r>
      <w:r w:rsidR="004E439E">
        <w:t xml:space="preserve"> </w:t>
      </w:r>
      <w:r w:rsidR="00EB7C69">
        <w:t>as well as for</w:t>
      </w:r>
      <w:r w:rsidR="004E439E">
        <w:t xml:space="preserve"> males and females separately</w:t>
      </w:r>
      <w:r w:rsidR="00EB7C69">
        <w:t>,</w:t>
      </w:r>
      <w:r w:rsidR="004E439E">
        <w:t xml:space="preserve"> to determine the extent to which hypothesized relations were moderated by gender differences</w:t>
      </w:r>
      <w:r w:rsidR="001B5C84">
        <w:t>.</w:t>
      </w:r>
    </w:p>
    <w:p w14:paraId="238779C1" w14:textId="1F569FD5" w:rsidR="001B5C84" w:rsidRPr="00B82C02" w:rsidRDefault="00B82C02" w:rsidP="00AD7C10">
      <w:pPr>
        <w:tabs>
          <w:tab w:val="left" w:pos="7702"/>
        </w:tabs>
        <w:contextualSpacing/>
      </w:pPr>
      <w:r>
        <w:tab/>
      </w:r>
    </w:p>
    <w:p w14:paraId="224107B2" w14:textId="77777777" w:rsidR="00305BDB" w:rsidRDefault="00305BDB" w:rsidP="00AD7C10">
      <w:pPr>
        <w:pStyle w:val="Heading5"/>
        <w:spacing w:before="0"/>
        <w:contextualSpacing/>
        <w:jc w:val="center"/>
        <w:rPr>
          <w:rFonts w:ascii="Times New Roman" w:hAnsi="Times New Roman" w:cs="Times New Roman"/>
          <w:b/>
          <w:color w:val="auto"/>
        </w:rPr>
      </w:pPr>
      <w:r w:rsidRPr="00CD0241">
        <w:rPr>
          <w:rFonts w:ascii="Times New Roman" w:hAnsi="Times New Roman" w:cs="Times New Roman"/>
          <w:b/>
          <w:color w:val="auto"/>
        </w:rPr>
        <w:t>Method</w:t>
      </w:r>
    </w:p>
    <w:p w14:paraId="1BB8DAE6" w14:textId="77777777" w:rsidR="00AD7C10" w:rsidRPr="00AD7C10" w:rsidRDefault="00AD7C10" w:rsidP="00AD7C10"/>
    <w:p w14:paraId="33D0EA64" w14:textId="061C4791" w:rsidR="00305BDB" w:rsidRDefault="00305BDB" w:rsidP="00AD7C10">
      <w:pPr>
        <w:pStyle w:val="Heading5"/>
        <w:spacing w:before="0"/>
        <w:contextualSpacing/>
        <w:rPr>
          <w:rFonts w:ascii="Times New Roman" w:hAnsi="Times New Roman" w:cs="Times New Roman"/>
          <w:b/>
          <w:color w:val="auto"/>
        </w:rPr>
      </w:pPr>
      <w:r w:rsidRPr="00CD0241">
        <w:rPr>
          <w:rFonts w:ascii="Times New Roman" w:hAnsi="Times New Roman" w:cs="Times New Roman"/>
          <w:b/>
          <w:color w:val="auto"/>
        </w:rPr>
        <w:t>Participants</w:t>
      </w:r>
      <w:r w:rsidR="00A55AFA">
        <w:rPr>
          <w:rFonts w:ascii="Times New Roman" w:hAnsi="Times New Roman" w:cs="Times New Roman"/>
          <w:b/>
          <w:color w:val="auto"/>
        </w:rPr>
        <w:t xml:space="preserve"> and Procedure</w:t>
      </w:r>
    </w:p>
    <w:p w14:paraId="1DB25EE8" w14:textId="77777777" w:rsidR="00AD7C10" w:rsidRPr="00AD7C10" w:rsidRDefault="00AD7C10" w:rsidP="00AD7C10"/>
    <w:p w14:paraId="4F604F96" w14:textId="45A836DC" w:rsidR="00967FD9" w:rsidRDefault="00305BDB" w:rsidP="00AD7C10">
      <w:pPr>
        <w:ind w:firstLine="720"/>
        <w:contextualSpacing/>
      </w:pPr>
      <w:r>
        <w:t xml:space="preserve">The sample for this study included 1,309 </w:t>
      </w:r>
      <w:r w:rsidR="0013220F">
        <w:t>first</w:t>
      </w:r>
      <w:r w:rsidR="00AA113A">
        <w:t>-</w:t>
      </w:r>
      <w:r w:rsidR="0013220F">
        <w:t xml:space="preserve">year junior college </w:t>
      </w:r>
      <w:r>
        <w:t xml:space="preserve">students (46% male) </w:t>
      </w:r>
      <w:proofErr w:type="spellStart"/>
      <w:r>
        <w:t>enroled</w:t>
      </w:r>
      <w:proofErr w:type="spellEnd"/>
      <w:r>
        <w:t xml:space="preserve"> at one of the four public</w:t>
      </w:r>
      <w:r w:rsidR="0013220F">
        <w:t>,</w:t>
      </w:r>
      <w:r>
        <w:t xml:space="preserve"> English</w:t>
      </w:r>
      <w:r w:rsidR="00AA113A">
        <w:t>-</w:t>
      </w:r>
      <w:r>
        <w:t>language CEGEPs in the greater Montreal area. The mean age of the participants was 17.33 years (range 15 to 19)</w:t>
      </w:r>
      <w:r w:rsidR="00CA7FF1">
        <w:t xml:space="preserve"> with </w:t>
      </w:r>
      <w:r>
        <w:t>74.7%</w:t>
      </w:r>
      <w:r w:rsidR="00CA7FF1">
        <w:t xml:space="preserve"> of </w:t>
      </w:r>
      <w:proofErr w:type="gramStart"/>
      <w:r w:rsidR="00CA7FF1">
        <w:t>students</w:t>
      </w:r>
      <w:proofErr w:type="gramEnd"/>
      <w:r>
        <w:t xml:space="preserve"> </w:t>
      </w:r>
      <w:proofErr w:type="spellStart"/>
      <w:r>
        <w:t>enroled</w:t>
      </w:r>
      <w:proofErr w:type="spellEnd"/>
      <w:r>
        <w:t xml:space="preserve"> in a science program</w:t>
      </w:r>
      <w:r w:rsidR="003632E1">
        <w:t xml:space="preserve"> as per an intensive recruitment focus on science majors</w:t>
      </w:r>
      <w:r>
        <w:t xml:space="preserve">. </w:t>
      </w:r>
      <w:r w:rsidR="00A55AFA">
        <w:t>All</w:t>
      </w:r>
      <w:r>
        <w:t xml:space="preserve"> </w:t>
      </w:r>
      <w:r w:rsidR="00A55AFA">
        <w:t xml:space="preserve">study </w:t>
      </w:r>
      <w:r>
        <w:t>participants had</w:t>
      </w:r>
      <w:r w:rsidR="00A55AFA">
        <w:t xml:space="preserve"> </w:t>
      </w:r>
      <w:r w:rsidR="00386E86">
        <w:t xml:space="preserve">nonetheless </w:t>
      </w:r>
      <w:r w:rsidR="00A55AFA">
        <w:t>completed</w:t>
      </w:r>
      <w:r>
        <w:t xml:space="preserve"> optional, advanced science courses in grades 10 and 11 and obtained a high school average of 70% or above in their mathematics and science classes, </w:t>
      </w:r>
      <w:r w:rsidR="00370CB2">
        <w:t xml:space="preserve">and therefore </w:t>
      </w:r>
      <w:r>
        <w:t xml:space="preserve">had the potential </w:t>
      </w:r>
      <w:r w:rsidR="00305834">
        <w:t>for admission</w:t>
      </w:r>
      <w:r>
        <w:t xml:space="preserve"> into a science program.</w:t>
      </w:r>
      <w:r w:rsidR="00305834">
        <w:t xml:space="preserve"> </w:t>
      </w:r>
      <w:r>
        <w:t>All participants completed a questionnaire during the first two weeks of CEGEP</w:t>
      </w:r>
      <w:r w:rsidR="00E60481">
        <w:t xml:space="preserve"> that included various</w:t>
      </w:r>
      <w:r>
        <w:t xml:space="preserve"> </w:t>
      </w:r>
      <w:r w:rsidR="00E60481">
        <w:t>demographic</w:t>
      </w:r>
      <w:r>
        <w:t xml:space="preserve">, social, motivational, and affective </w:t>
      </w:r>
      <w:r w:rsidR="00942200">
        <w:t>self</w:t>
      </w:r>
      <w:r w:rsidR="00AA113A">
        <w:t>-</w:t>
      </w:r>
      <w:r w:rsidR="00942200">
        <w:t xml:space="preserve">report </w:t>
      </w:r>
      <w:r w:rsidR="00E60481">
        <w:t>measures</w:t>
      </w:r>
      <w:r w:rsidR="00942200">
        <w:t xml:space="preserve"> </w:t>
      </w:r>
      <w:r w:rsidR="008B5106">
        <w:t>concerning their high</w:t>
      </w:r>
      <w:r w:rsidR="00AA113A">
        <w:t>-</w:t>
      </w:r>
      <w:r w:rsidR="008B5106">
        <w:t>school experiences</w:t>
      </w:r>
      <w:r w:rsidR="00967FD9">
        <w:t>. All self-report measures were obtained directly from published research or minimally adapted for CEGEP students, with institutional data obtained from participating CEGEPs following study completion. Participants were compensated through random prize draws totaling $600 per institution.</w:t>
      </w:r>
    </w:p>
    <w:p w14:paraId="5EEFB5D8" w14:textId="77777777" w:rsidR="00AD7C10" w:rsidRDefault="00AD7C10" w:rsidP="00AD7C10">
      <w:pPr>
        <w:ind w:firstLine="720"/>
        <w:contextualSpacing/>
        <w:rPr>
          <w:b/>
        </w:rPr>
      </w:pPr>
    </w:p>
    <w:p w14:paraId="6DDE371A" w14:textId="77777777" w:rsidR="00424293" w:rsidRDefault="00D4619B" w:rsidP="00AD7C10">
      <w:pPr>
        <w:contextualSpacing/>
        <w:rPr>
          <w:b/>
        </w:rPr>
      </w:pPr>
      <w:r w:rsidRPr="00CD0241">
        <w:rPr>
          <w:b/>
        </w:rPr>
        <w:t xml:space="preserve">Study </w:t>
      </w:r>
      <w:r>
        <w:rPr>
          <w:b/>
        </w:rPr>
        <w:t>Measures</w:t>
      </w:r>
    </w:p>
    <w:p w14:paraId="2D201392" w14:textId="77777777" w:rsidR="00AD7C10" w:rsidRDefault="00AD7C10" w:rsidP="00AD7C10">
      <w:pPr>
        <w:contextualSpacing/>
        <w:rPr>
          <w:b/>
        </w:rPr>
      </w:pPr>
    </w:p>
    <w:p w14:paraId="10BA3946" w14:textId="3E5C56AC" w:rsidR="00B1375A" w:rsidRDefault="00424293" w:rsidP="00AD7C10">
      <w:pPr>
        <w:ind w:firstLine="720"/>
        <w:contextualSpacing/>
      </w:pPr>
      <w:r>
        <w:t xml:space="preserve">All questionnaire items were </w:t>
      </w:r>
      <w:r w:rsidR="00374B97">
        <w:t xml:space="preserve">rated on a </w:t>
      </w:r>
      <w:r>
        <w:t>5</w:t>
      </w:r>
      <w:r w:rsidR="00C260CB">
        <w:t>-</w:t>
      </w:r>
      <w:r>
        <w:t>p</w:t>
      </w:r>
      <w:r w:rsidR="00374B97">
        <w:t>oint Likert scale (</w:t>
      </w:r>
      <w:r>
        <w:t xml:space="preserve">1 = </w:t>
      </w:r>
      <w:r w:rsidRPr="00CD0241">
        <w:rPr>
          <w:i/>
        </w:rPr>
        <w:t>strongly disagre</w:t>
      </w:r>
      <w:r w:rsidR="00374B97" w:rsidRPr="00CD0241">
        <w:rPr>
          <w:i/>
        </w:rPr>
        <w:t>e/very rarely or not at all</w:t>
      </w:r>
      <w:r w:rsidR="00374B97">
        <w:t xml:space="preserve">; </w:t>
      </w:r>
      <w:r>
        <w:t xml:space="preserve">5 = </w:t>
      </w:r>
      <w:r w:rsidRPr="00CD0241">
        <w:rPr>
          <w:i/>
        </w:rPr>
        <w:t>strongly agree/very often</w:t>
      </w:r>
      <w:r w:rsidR="00374B97">
        <w:t>).</w:t>
      </w:r>
      <w:r w:rsidR="00967FD9">
        <w:t xml:space="preserve"> See Table 1 for variable means and standard deviations by gender. </w:t>
      </w:r>
    </w:p>
    <w:p w14:paraId="4F20F9A0" w14:textId="00E47C0F" w:rsidR="00964C95" w:rsidRPr="00CD0241" w:rsidRDefault="00964C95" w:rsidP="00AD7C10">
      <w:pPr>
        <w:ind w:firstLine="720"/>
        <w:contextualSpacing/>
        <w:rPr>
          <w:sz w:val="20"/>
          <w:szCs w:val="20"/>
        </w:rPr>
      </w:pPr>
      <w:proofErr w:type="gramStart"/>
      <w:r w:rsidRPr="005C7D6E">
        <w:rPr>
          <w:b/>
        </w:rPr>
        <w:t>Autonomy support.</w:t>
      </w:r>
      <w:proofErr w:type="gramEnd"/>
      <w:r>
        <w:t xml:space="preserve"> Student perceptions concerning the extent to which the learning environment in mathematics and science classes during high school facilitated perceptions of autonomy were measured using four </w:t>
      </w:r>
      <w:r w:rsidR="00CB79B7">
        <w:t xml:space="preserve"> </w:t>
      </w:r>
      <w:r>
        <w:t xml:space="preserve">items from the Perceptions of Science Classes Survey (PSCS; </w:t>
      </w:r>
      <w:proofErr w:type="spellStart"/>
      <w:r>
        <w:t>Kardash</w:t>
      </w:r>
      <w:proofErr w:type="spellEnd"/>
      <w:r>
        <w:t xml:space="preserve"> &amp; Wallace, 2001; </w:t>
      </w:r>
      <w:r w:rsidRPr="005B0990">
        <w:sym w:font="Symbol" w:char="F061"/>
      </w:r>
      <w:r w:rsidRPr="005B0990">
        <w:t xml:space="preserve"> = .67</w:t>
      </w:r>
      <w:r w:rsidR="00DF45D8">
        <w:t>; e.g., “</w:t>
      </w:r>
      <w:r w:rsidR="00DF45D8" w:rsidRPr="00CD0241">
        <w:t>Teachers encouraged me to think for myself”</w:t>
      </w:r>
      <w:r w:rsidRPr="00DF45D8">
        <w:t xml:space="preserve">). </w:t>
      </w:r>
    </w:p>
    <w:p w14:paraId="087DCD2A" w14:textId="3FA7035A" w:rsidR="00305BDB" w:rsidRPr="00CD0241" w:rsidRDefault="00305BDB" w:rsidP="00AD7C10">
      <w:pPr>
        <w:ind w:firstLine="720"/>
        <w:contextualSpacing/>
        <w:rPr>
          <w:sz w:val="20"/>
          <w:szCs w:val="20"/>
        </w:rPr>
      </w:pPr>
      <w:proofErr w:type="gramStart"/>
      <w:r w:rsidRPr="00CD0241">
        <w:rPr>
          <w:b/>
        </w:rPr>
        <w:t>Self</w:t>
      </w:r>
      <w:r w:rsidR="00B9629A">
        <w:rPr>
          <w:b/>
        </w:rPr>
        <w:t>-</w:t>
      </w:r>
      <w:r w:rsidRPr="00CD0241">
        <w:rPr>
          <w:b/>
        </w:rPr>
        <w:t>efficacy.</w:t>
      </w:r>
      <w:proofErr w:type="gramEnd"/>
      <w:r>
        <w:rPr>
          <w:i/>
        </w:rPr>
        <w:t xml:space="preserve"> </w:t>
      </w:r>
      <w:r>
        <w:t>Self</w:t>
      </w:r>
      <w:r w:rsidR="00AA113A">
        <w:t>-</w:t>
      </w:r>
      <w:r>
        <w:t xml:space="preserve">efficacy was measured using items adapted from the Motivated Strategies for Learning Questionnaire (MSLQ; </w:t>
      </w:r>
      <w:proofErr w:type="spellStart"/>
      <w:r>
        <w:t>Pintrich</w:t>
      </w:r>
      <w:proofErr w:type="spellEnd"/>
      <w:r>
        <w:t xml:space="preserve">, Smith, Garcia, &amp; </w:t>
      </w:r>
      <w:proofErr w:type="spellStart"/>
      <w:r>
        <w:t>McKeachie</w:t>
      </w:r>
      <w:proofErr w:type="spellEnd"/>
      <w:r>
        <w:t xml:space="preserve">, </w:t>
      </w:r>
      <w:r w:rsidR="00AF1CE0">
        <w:t>1991</w:t>
      </w:r>
      <w:r w:rsidR="00DF45D8">
        <w:t>; e.g., “</w:t>
      </w:r>
      <w:r w:rsidR="00DF45D8" w:rsidRPr="00CD0241">
        <w:t>I can succeed in math or science classes”</w:t>
      </w:r>
      <w:r w:rsidR="00AF1CE0" w:rsidRPr="00DF45D8">
        <w:t>).</w:t>
      </w:r>
      <w:r w:rsidR="00AF1CE0">
        <w:t xml:space="preserve"> The six MSLQ items were selected and</w:t>
      </w:r>
      <w:r>
        <w:t xml:space="preserve"> adapted based on feedback received from members of </w:t>
      </w:r>
      <w:r w:rsidR="00204C88">
        <w:t xml:space="preserve">an </w:t>
      </w:r>
      <w:r>
        <w:t>item</w:t>
      </w:r>
      <w:r w:rsidR="00C260CB">
        <w:t>-</w:t>
      </w:r>
      <w:r>
        <w:t xml:space="preserve">review team </w:t>
      </w:r>
      <w:r w:rsidR="000A7163">
        <w:t xml:space="preserve">(e.g., CEGEP and university science and mathematics professors) </w:t>
      </w:r>
      <w:r>
        <w:t>to best reflect the experiences of CEGEP science students</w:t>
      </w:r>
      <w:r w:rsidR="00AF1CE0">
        <w:t xml:space="preserve"> </w:t>
      </w:r>
      <w:r w:rsidR="00424526">
        <w:t>(</w:t>
      </w:r>
      <w:r>
        <w:sym w:font="Symbol" w:char="F061"/>
      </w:r>
      <w:r>
        <w:t xml:space="preserve"> = .77)</w:t>
      </w:r>
      <w:r w:rsidR="00AF1CE0">
        <w:t>.</w:t>
      </w:r>
    </w:p>
    <w:p w14:paraId="5D347D47" w14:textId="6A020060" w:rsidR="00305BDB" w:rsidRDefault="00305BDB" w:rsidP="00AD7C10">
      <w:pPr>
        <w:ind w:firstLine="720"/>
        <w:contextualSpacing/>
      </w:pPr>
      <w:proofErr w:type="gramStart"/>
      <w:r w:rsidRPr="00CD0241">
        <w:rPr>
          <w:b/>
        </w:rPr>
        <w:t>Achievement goal orientation.</w:t>
      </w:r>
      <w:proofErr w:type="gramEnd"/>
      <w:r>
        <w:t xml:space="preserve"> Students’ achievement goal orientation was measured using 12 items from the Patterns of Adaptive Lear</w:t>
      </w:r>
      <w:r w:rsidR="00B21F14">
        <w:t xml:space="preserve">ning Survey (PALS; </w:t>
      </w:r>
      <w:proofErr w:type="spellStart"/>
      <w:r w:rsidR="00B21F14">
        <w:t>Midgley</w:t>
      </w:r>
      <w:proofErr w:type="spellEnd"/>
      <w:r w:rsidR="00B21F14">
        <w:t xml:space="preserve"> et al., </w:t>
      </w:r>
      <w:r>
        <w:t xml:space="preserve">1997). For the present study, </w:t>
      </w:r>
      <w:r w:rsidR="00D22F7D">
        <w:t xml:space="preserve">two </w:t>
      </w:r>
      <w:r>
        <w:t>four</w:t>
      </w:r>
      <w:r w:rsidR="00C260CB">
        <w:t>-</w:t>
      </w:r>
      <w:r>
        <w:t>item</w:t>
      </w:r>
      <w:r w:rsidR="00D22F7D">
        <w:t xml:space="preserve"> scales </w:t>
      </w:r>
      <w:r>
        <w:t xml:space="preserve">measuring the </w:t>
      </w:r>
      <w:r w:rsidR="005D24AB">
        <w:t xml:space="preserve">two </w:t>
      </w:r>
      <w:r>
        <w:t xml:space="preserve">goal orientation </w:t>
      </w:r>
      <w:r w:rsidR="00AE090A">
        <w:t xml:space="preserve">types </w:t>
      </w:r>
      <w:r w:rsidR="005D24AB">
        <w:t xml:space="preserve">of interest </w:t>
      </w:r>
      <w:r w:rsidR="00AE090A">
        <w:t xml:space="preserve">were </w:t>
      </w:r>
      <w:r w:rsidR="005D24AB">
        <w:t xml:space="preserve">administered </w:t>
      </w:r>
      <w:r>
        <w:t xml:space="preserve">(mastery orientation </w:t>
      </w:r>
      <w:r>
        <w:sym w:font="Symbol" w:char="F061"/>
      </w:r>
      <w:r>
        <w:t xml:space="preserve"> = .70</w:t>
      </w:r>
      <w:r w:rsidR="006C3C4E">
        <w:t>;</w:t>
      </w:r>
      <w:r w:rsidR="00DF45D8">
        <w:t xml:space="preserve"> e.g</w:t>
      </w:r>
      <w:r w:rsidR="00DF45D8" w:rsidRPr="007A0508">
        <w:t>., “</w:t>
      </w:r>
      <w:r w:rsidR="00DF45D8" w:rsidRPr="00CD0241">
        <w:t>An important reason why I do my schoolwork is bec</w:t>
      </w:r>
      <w:r w:rsidR="007A0508" w:rsidRPr="00CD0241">
        <w:t xml:space="preserve">ause I like to learn new things”; </w:t>
      </w:r>
      <w:r w:rsidRPr="007A0508">
        <w:t xml:space="preserve">performance orientation </w:t>
      </w:r>
      <w:r w:rsidRPr="007A0508">
        <w:sym w:font="Symbol" w:char="F061"/>
      </w:r>
      <w:r w:rsidRPr="007A0508">
        <w:t xml:space="preserve"> = .74</w:t>
      </w:r>
      <w:r w:rsidR="006C3C4E">
        <w:t>;</w:t>
      </w:r>
      <w:r w:rsidR="007A0508" w:rsidRPr="007A0508">
        <w:t xml:space="preserve"> e.g., “</w:t>
      </w:r>
      <w:r w:rsidR="007A0508" w:rsidRPr="00CD0241">
        <w:t>Doing better than other students in school is important to me”</w:t>
      </w:r>
      <w:r w:rsidRPr="007A0508">
        <w:t xml:space="preserve">). </w:t>
      </w:r>
    </w:p>
    <w:p w14:paraId="28D5B84E" w14:textId="77777777" w:rsidR="00AD7C10" w:rsidRPr="001A00C5" w:rsidRDefault="00AD7C10" w:rsidP="00AD7C10">
      <w:pPr>
        <w:tabs>
          <w:tab w:val="right" w:pos="9720"/>
        </w:tabs>
        <w:contextualSpacing/>
      </w:pPr>
      <w:r w:rsidRPr="000B2EF6">
        <w:lastRenderedPageBreak/>
        <w:t>Table 1</w:t>
      </w:r>
    </w:p>
    <w:p w14:paraId="2A0C5D75" w14:textId="77777777" w:rsidR="00AD7C10" w:rsidRPr="008F5741" w:rsidRDefault="00AD7C10" w:rsidP="00AD7C10">
      <w:pPr>
        <w:pStyle w:val="Heading7"/>
        <w:contextualSpacing/>
        <w:rPr>
          <w:rStyle w:val="Emphasis"/>
          <w:rFonts w:ascii="Times New Roman" w:hAnsi="Times New Roman" w:cs="Times New Roman"/>
          <w:i/>
          <w:color w:val="auto"/>
        </w:rPr>
      </w:pPr>
      <w:r w:rsidRPr="000B2EF6">
        <w:rPr>
          <w:rStyle w:val="Emphasis"/>
          <w:rFonts w:ascii="Times New Roman" w:hAnsi="Times New Roman" w:cs="Times New Roman"/>
          <w:i/>
          <w:color w:val="auto"/>
        </w:rPr>
        <w:t>Variable Means and Standard Deviations as a Function of Gender</w:t>
      </w:r>
    </w:p>
    <w:p w14:paraId="376A122B" w14:textId="77777777" w:rsidR="00AD7C10" w:rsidRPr="000B2EF6" w:rsidRDefault="00AD7C10" w:rsidP="00AD7C10">
      <w:pPr>
        <w:contextualSpacing/>
        <w:rPr>
          <w:rStyle w:val="Emphasis"/>
        </w:rPr>
      </w:pPr>
    </w:p>
    <w:p w14:paraId="7B47CC17" w14:textId="77777777" w:rsidR="00AD7C10" w:rsidRPr="001A00C5" w:rsidRDefault="00AD7C10" w:rsidP="00AD7C10">
      <w:pPr>
        <w:pBdr>
          <w:top w:val="single" w:sz="4" w:space="1" w:color="auto"/>
        </w:pBdr>
        <w:contextualSpacing/>
      </w:pPr>
      <w:r w:rsidRPr="000B2EF6">
        <w:tab/>
      </w:r>
      <w:r w:rsidRPr="000B2EF6">
        <w:tab/>
      </w:r>
      <w:r w:rsidRPr="000B2EF6">
        <w:tab/>
        <w:t xml:space="preserve">          </w:t>
      </w:r>
      <w:r w:rsidRPr="000B2EF6">
        <w:tab/>
        <w:t xml:space="preserve">         Females</w:t>
      </w:r>
      <w:r w:rsidRPr="000B2EF6">
        <w:tab/>
      </w:r>
      <w:r w:rsidRPr="000B2EF6">
        <w:tab/>
      </w:r>
      <w:r w:rsidRPr="000B2EF6">
        <w:tab/>
      </w:r>
      <w:r>
        <w:t xml:space="preserve">          </w:t>
      </w:r>
      <w:r w:rsidRPr="000B2EF6">
        <w:t>Males</w:t>
      </w:r>
    </w:p>
    <w:p w14:paraId="0C6D91B5" w14:textId="77777777" w:rsidR="00AD7C10" w:rsidRPr="001A00C5" w:rsidRDefault="00AD7C10" w:rsidP="00AD7C10">
      <w:pPr>
        <w:contextualSpacing/>
      </w:pPr>
      <w:r w:rsidRPr="000B2EF6">
        <w:tab/>
      </w:r>
      <w:r w:rsidRPr="000B2EF6">
        <w:tab/>
      </w:r>
      <w:r w:rsidRPr="000B2EF6">
        <w:tab/>
        <w:t xml:space="preserve">         __________________</w:t>
      </w:r>
      <w:r>
        <w:t>_______</w:t>
      </w:r>
      <w:r w:rsidRPr="000B2EF6">
        <w:t>__________________</w:t>
      </w:r>
    </w:p>
    <w:p w14:paraId="627B9043" w14:textId="77777777" w:rsidR="00AD7C10" w:rsidRPr="001A00C5" w:rsidRDefault="00AD7C10" w:rsidP="00AD7C10">
      <w:pPr>
        <w:pBdr>
          <w:bottom w:val="single" w:sz="12" w:space="1" w:color="auto"/>
        </w:pBdr>
        <w:contextualSpacing/>
      </w:pPr>
      <w:r w:rsidRPr="000B2EF6">
        <w:t>Measures</w:t>
      </w:r>
      <w:r w:rsidRPr="000B2EF6">
        <w:tab/>
      </w:r>
      <w:r w:rsidRPr="000B2EF6">
        <w:tab/>
      </w:r>
      <w:r w:rsidRPr="000B2EF6">
        <w:tab/>
        <w:t xml:space="preserve">   </w:t>
      </w:r>
      <w:r w:rsidRPr="000B2EF6">
        <w:rPr>
          <w:i/>
          <w:iCs/>
        </w:rPr>
        <w:t>M</w:t>
      </w:r>
      <w:r w:rsidRPr="000B2EF6">
        <w:rPr>
          <w:i/>
          <w:iCs/>
        </w:rPr>
        <w:tab/>
      </w:r>
      <w:r w:rsidRPr="000B2EF6">
        <w:rPr>
          <w:i/>
          <w:iCs/>
        </w:rPr>
        <w:tab/>
        <w:t>SD</w:t>
      </w:r>
      <w:r w:rsidRPr="000B2EF6">
        <w:rPr>
          <w:i/>
          <w:iCs/>
        </w:rPr>
        <w:tab/>
      </w:r>
      <w:r w:rsidRPr="000B2EF6">
        <w:rPr>
          <w:i/>
          <w:iCs/>
        </w:rPr>
        <w:tab/>
        <w:t xml:space="preserve"> M</w:t>
      </w:r>
      <w:r w:rsidRPr="000B2EF6">
        <w:rPr>
          <w:i/>
          <w:iCs/>
        </w:rPr>
        <w:tab/>
      </w:r>
      <w:r w:rsidRPr="000B2EF6">
        <w:rPr>
          <w:i/>
          <w:iCs/>
        </w:rPr>
        <w:tab/>
        <w:t>SD</w:t>
      </w:r>
    </w:p>
    <w:p w14:paraId="395A4D6E" w14:textId="77777777" w:rsidR="00AD7C10" w:rsidRPr="001A00C5" w:rsidRDefault="00AD7C10" w:rsidP="00AD7C10">
      <w:pPr>
        <w:contextualSpacing/>
      </w:pPr>
    </w:p>
    <w:p w14:paraId="58594ECC" w14:textId="77777777" w:rsidR="00AD7C10" w:rsidRPr="001A00C5" w:rsidRDefault="00AD7C10" w:rsidP="00AD7C10">
      <w:pPr>
        <w:numPr>
          <w:ilvl w:val="0"/>
          <w:numId w:val="3"/>
        </w:numPr>
        <w:contextualSpacing/>
      </w:pPr>
      <w:r w:rsidRPr="000B2EF6">
        <w:t>Autonomy support</w:t>
      </w:r>
      <w:r w:rsidRPr="000B2EF6">
        <w:tab/>
        <w:t>3.51</w:t>
      </w:r>
      <w:r w:rsidRPr="000B2EF6">
        <w:tab/>
      </w:r>
      <w:r w:rsidRPr="000B2EF6">
        <w:tab/>
        <w:t>0.66</w:t>
      </w:r>
      <w:r w:rsidRPr="000B2EF6">
        <w:tab/>
      </w:r>
      <w:r w:rsidRPr="000B2EF6">
        <w:tab/>
        <w:t>3.49</w:t>
      </w:r>
      <w:r w:rsidRPr="000B2EF6">
        <w:tab/>
      </w:r>
      <w:r w:rsidRPr="000B2EF6">
        <w:tab/>
        <w:t>0.67</w:t>
      </w:r>
    </w:p>
    <w:p w14:paraId="7530E024" w14:textId="77777777" w:rsidR="00AD7C10" w:rsidRPr="001A00C5" w:rsidRDefault="00AD7C10" w:rsidP="00AD7C10">
      <w:pPr>
        <w:numPr>
          <w:ilvl w:val="0"/>
          <w:numId w:val="3"/>
        </w:numPr>
        <w:contextualSpacing/>
      </w:pPr>
      <w:r w:rsidRPr="000B2EF6">
        <w:t>Self-efficacy</w:t>
      </w:r>
      <w:r w:rsidRPr="000B2EF6">
        <w:tab/>
      </w:r>
      <w:r w:rsidRPr="000B2EF6">
        <w:tab/>
        <w:t>3.32</w:t>
      </w:r>
      <w:r w:rsidRPr="000B2EF6">
        <w:tab/>
      </w:r>
      <w:r w:rsidRPr="000B2EF6">
        <w:tab/>
        <w:t>0.55</w:t>
      </w:r>
      <w:r w:rsidRPr="000B2EF6">
        <w:tab/>
      </w:r>
      <w:r w:rsidRPr="000B2EF6">
        <w:tab/>
        <w:t>3.63***</w:t>
      </w:r>
      <w:r w:rsidRPr="000B2EF6">
        <w:tab/>
        <w:t>0.57         (.55)</w:t>
      </w:r>
    </w:p>
    <w:p w14:paraId="6F13C4D4" w14:textId="77777777" w:rsidR="00AD7C10" w:rsidRPr="001A00C5" w:rsidRDefault="00AD7C10" w:rsidP="00AD7C10">
      <w:pPr>
        <w:numPr>
          <w:ilvl w:val="0"/>
          <w:numId w:val="3"/>
        </w:numPr>
        <w:contextualSpacing/>
      </w:pPr>
      <w:r w:rsidRPr="000B2EF6">
        <w:t>Intrinsic motivation</w:t>
      </w:r>
      <w:r w:rsidRPr="000B2EF6">
        <w:tab/>
        <w:t>3.83</w:t>
      </w:r>
      <w:r w:rsidRPr="000B2EF6">
        <w:tab/>
      </w:r>
      <w:r w:rsidRPr="000B2EF6">
        <w:tab/>
        <w:t>0.60</w:t>
      </w:r>
      <w:r w:rsidRPr="000B2EF6">
        <w:tab/>
      </w:r>
      <w:r w:rsidRPr="000B2EF6">
        <w:tab/>
        <w:t>3.75*</w:t>
      </w:r>
      <w:r w:rsidRPr="000B2EF6">
        <w:tab/>
      </w:r>
      <w:r w:rsidRPr="000B2EF6">
        <w:tab/>
        <w:t>0.60         (.13)</w:t>
      </w:r>
    </w:p>
    <w:p w14:paraId="6472EDAD" w14:textId="77777777" w:rsidR="00AD7C10" w:rsidRPr="001A00C5" w:rsidRDefault="00AD7C10" w:rsidP="00AD7C10">
      <w:pPr>
        <w:numPr>
          <w:ilvl w:val="0"/>
          <w:numId w:val="3"/>
        </w:numPr>
        <w:contextualSpacing/>
      </w:pPr>
      <w:r w:rsidRPr="000B2EF6">
        <w:t>Positive affect</w:t>
      </w:r>
      <w:r w:rsidRPr="000B2EF6">
        <w:tab/>
        <w:t xml:space="preserve"> </w:t>
      </w:r>
      <w:r w:rsidRPr="000B2EF6">
        <w:tab/>
        <w:t>3.14</w:t>
      </w:r>
      <w:r w:rsidRPr="000B2EF6">
        <w:tab/>
      </w:r>
      <w:r w:rsidRPr="000B2EF6">
        <w:tab/>
        <w:t>0.77</w:t>
      </w:r>
      <w:r w:rsidRPr="000B2EF6">
        <w:tab/>
      </w:r>
      <w:r w:rsidRPr="000B2EF6">
        <w:tab/>
        <w:t>3.18</w:t>
      </w:r>
      <w:r w:rsidRPr="000B2EF6">
        <w:tab/>
      </w:r>
      <w:r w:rsidRPr="000B2EF6">
        <w:tab/>
        <w:t>0.76</w:t>
      </w:r>
    </w:p>
    <w:p w14:paraId="2814FF02" w14:textId="77777777" w:rsidR="00AD7C10" w:rsidRPr="001A00C5" w:rsidRDefault="00AD7C10" w:rsidP="00AD7C10">
      <w:pPr>
        <w:numPr>
          <w:ilvl w:val="0"/>
          <w:numId w:val="3"/>
        </w:numPr>
        <w:contextualSpacing/>
      </w:pPr>
      <w:r w:rsidRPr="000B2EF6">
        <w:t>Negative affect</w:t>
      </w:r>
      <w:r w:rsidRPr="000B2EF6">
        <w:tab/>
        <w:t xml:space="preserve"> </w:t>
      </w:r>
      <w:r w:rsidRPr="000B2EF6">
        <w:tab/>
        <w:t>2.47</w:t>
      </w:r>
      <w:r w:rsidRPr="000B2EF6">
        <w:tab/>
      </w:r>
      <w:r w:rsidRPr="000B2EF6">
        <w:tab/>
        <w:t>0.77</w:t>
      </w:r>
      <w:r w:rsidRPr="000B2EF6">
        <w:tab/>
      </w:r>
      <w:r w:rsidRPr="000B2EF6">
        <w:tab/>
        <w:t>2.24***</w:t>
      </w:r>
      <w:r w:rsidRPr="000B2EF6">
        <w:tab/>
        <w:t>0.68         (.32)</w:t>
      </w:r>
    </w:p>
    <w:p w14:paraId="4887BE8D" w14:textId="77777777" w:rsidR="00AD7C10" w:rsidRPr="001A00C5" w:rsidRDefault="00AD7C10" w:rsidP="00AD7C10">
      <w:pPr>
        <w:numPr>
          <w:ilvl w:val="0"/>
          <w:numId w:val="3"/>
        </w:numPr>
        <w:contextualSpacing/>
      </w:pPr>
      <w:r w:rsidRPr="000B2EF6">
        <w:t>Mastery goal</w:t>
      </w:r>
      <w:r w:rsidRPr="000B2EF6">
        <w:tab/>
      </w:r>
      <w:r w:rsidRPr="000B2EF6">
        <w:tab/>
        <w:t>3.74</w:t>
      </w:r>
      <w:r w:rsidRPr="000B2EF6">
        <w:tab/>
      </w:r>
      <w:r w:rsidRPr="000B2EF6">
        <w:tab/>
        <w:t>0.48</w:t>
      </w:r>
      <w:r w:rsidRPr="000B2EF6">
        <w:tab/>
      </w:r>
      <w:r w:rsidRPr="000B2EF6">
        <w:tab/>
        <w:t>3.69*</w:t>
      </w:r>
      <w:r w:rsidRPr="000B2EF6">
        <w:tab/>
      </w:r>
      <w:r w:rsidRPr="000B2EF6">
        <w:tab/>
        <w:t>0.55         (.10)</w:t>
      </w:r>
    </w:p>
    <w:p w14:paraId="1AA6045C" w14:textId="77777777" w:rsidR="00AD7C10" w:rsidRPr="001A00C5" w:rsidRDefault="00AD7C10" w:rsidP="00AD7C10">
      <w:pPr>
        <w:numPr>
          <w:ilvl w:val="0"/>
          <w:numId w:val="3"/>
        </w:numPr>
        <w:contextualSpacing/>
      </w:pPr>
      <w:r w:rsidRPr="000B2EF6">
        <w:t>Performance goal</w:t>
      </w:r>
      <w:r w:rsidRPr="000B2EF6">
        <w:tab/>
      </w:r>
      <w:r w:rsidRPr="000B2EF6">
        <w:tab/>
        <w:t>3.30</w:t>
      </w:r>
      <w:r w:rsidRPr="000B2EF6">
        <w:tab/>
      </w:r>
      <w:r w:rsidRPr="000B2EF6">
        <w:tab/>
        <w:t>0.62</w:t>
      </w:r>
      <w:r w:rsidRPr="000B2EF6">
        <w:tab/>
      </w:r>
      <w:r w:rsidRPr="000B2EF6">
        <w:tab/>
        <w:t>3.34</w:t>
      </w:r>
      <w:r w:rsidRPr="000B2EF6">
        <w:tab/>
      </w:r>
      <w:r w:rsidRPr="000B2EF6">
        <w:tab/>
        <w:t>0.62</w:t>
      </w:r>
    </w:p>
    <w:p w14:paraId="6E020ECB" w14:textId="77777777" w:rsidR="00AD7C10" w:rsidRPr="001A00C5" w:rsidRDefault="00AD7C10" w:rsidP="00AD7C10">
      <w:pPr>
        <w:numPr>
          <w:ilvl w:val="0"/>
          <w:numId w:val="3"/>
        </w:numPr>
        <w:contextualSpacing/>
      </w:pPr>
      <w:r w:rsidRPr="000B2EF6">
        <w:t>Achievement</w:t>
      </w:r>
      <w:r w:rsidRPr="000B2EF6">
        <w:tab/>
      </w:r>
      <w:r>
        <w:t xml:space="preserve">          </w:t>
      </w:r>
      <w:r w:rsidRPr="000B2EF6">
        <w:t>81.50</w:t>
      </w:r>
      <w:r w:rsidRPr="000B2EF6">
        <w:tab/>
        <w:t xml:space="preserve">          </w:t>
      </w:r>
      <w:r w:rsidRPr="000B2EF6">
        <w:tab/>
        <w:t>7.08</w:t>
      </w:r>
      <w:r w:rsidRPr="000B2EF6">
        <w:tab/>
      </w:r>
      <w:r>
        <w:t xml:space="preserve">          </w:t>
      </w:r>
      <w:r w:rsidRPr="000B2EF6">
        <w:t>81.39</w:t>
      </w:r>
      <w:r w:rsidRPr="000B2EF6">
        <w:tab/>
        <w:t xml:space="preserve">            7.07</w:t>
      </w:r>
    </w:p>
    <w:p w14:paraId="5FFE65A0" w14:textId="77777777" w:rsidR="00AD7C10" w:rsidRPr="001A00C5" w:rsidRDefault="00AD7C10" w:rsidP="00AD7C10">
      <w:pPr>
        <w:pBdr>
          <w:bottom w:val="single" w:sz="12" w:space="1" w:color="auto"/>
        </w:pBdr>
        <w:contextualSpacing/>
      </w:pPr>
    </w:p>
    <w:p w14:paraId="768B1B63" w14:textId="77777777" w:rsidR="00AD7C10" w:rsidRDefault="00AD7C10" w:rsidP="00AD7C10">
      <w:pPr>
        <w:contextualSpacing/>
        <w:rPr>
          <w:i/>
        </w:rPr>
      </w:pPr>
    </w:p>
    <w:p w14:paraId="79F080DD" w14:textId="77777777" w:rsidR="00AD7C10" w:rsidRPr="001A00C5" w:rsidRDefault="00AD7C10" w:rsidP="00AD7C10">
      <w:pPr>
        <w:contextualSpacing/>
        <w:rPr>
          <w:i/>
          <w:iCs/>
        </w:rPr>
      </w:pPr>
      <w:r w:rsidRPr="000B2EF6">
        <w:rPr>
          <w:i/>
        </w:rPr>
        <w:t>Note.</w:t>
      </w:r>
      <w:r w:rsidRPr="000B2EF6">
        <w:t xml:space="preserve"> Effect sizes are noted in parentheses and calculated using Cohen’s </w:t>
      </w:r>
      <w:r w:rsidRPr="000B2EF6">
        <w:rPr>
          <w:i/>
          <w:iCs/>
        </w:rPr>
        <w:t>d.</w:t>
      </w:r>
    </w:p>
    <w:p w14:paraId="1F1379E2" w14:textId="77777777" w:rsidR="00AD7C10" w:rsidRDefault="00AD7C10" w:rsidP="00AD7C10">
      <w:pPr>
        <w:contextualSpacing/>
      </w:pPr>
      <w:proofErr w:type="gramStart"/>
      <w:r w:rsidRPr="001A00C5">
        <w:t>*</w:t>
      </w:r>
      <w:r w:rsidRPr="001A00C5">
        <w:rPr>
          <w:i/>
          <w:iCs/>
        </w:rPr>
        <w:t>p</w:t>
      </w:r>
      <w:r w:rsidRPr="001A00C5">
        <w:t xml:space="preserve"> </w:t>
      </w:r>
      <w:r w:rsidRPr="001A00C5">
        <w:sym w:font="Symbol" w:char="F03C"/>
      </w:r>
      <w:r w:rsidRPr="001A00C5">
        <w:t xml:space="preserve"> .05.</w:t>
      </w:r>
      <w:proofErr w:type="gramEnd"/>
      <w:r w:rsidRPr="001A00C5">
        <w:t xml:space="preserve">  </w:t>
      </w:r>
      <w:proofErr w:type="gramStart"/>
      <w:r w:rsidRPr="001A00C5">
        <w:t>**</w:t>
      </w:r>
      <w:r w:rsidRPr="001A00C5">
        <w:rPr>
          <w:i/>
          <w:iCs/>
        </w:rPr>
        <w:t>p</w:t>
      </w:r>
      <w:r w:rsidRPr="001A00C5">
        <w:t xml:space="preserve"> </w:t>
      </w:r>
      <w:r w:rsidRPr="001A00C5">
        <w:sym w:font="Symbol" w:char="F03C"/>
      </w:r>
      <w:r w:rsidRPr="001A00C5">
        <w:t xml:space="preserve"> .01.</w:t>
      </w:r>
      <w:proofErr w:type="gramEnd"/>
      <w:r w:rsidRPr="001A00C5">
        <w:t xml:space="preserve">  </w:t>
      </w:r>
      <w:proofErr w:type="gramStart"/>
      <w:r w:rsidRPr="001A00C5">
        <w:t>***</w:t>
      </w:r>
      <w:r w:rsidRPr="001A00C5">
        <w:rPr>
          <w:i/>
          <w:iCs/>
        </w:rPr>
        <w:t>p</w:t>
      </w:r>
      <w:r w:rsidRPr="001A00C5">
        <w:t xml:space="preserve"> </w:t>
      </w:r>
      <w:r w:rsidRPr="001A00C5">
        <w:sym w:font="Symbol" w:char="F03C"/>
      </w:r>
      <w:r w:rsidRPr="001A00C5">
        <w:t xml:space="preserve"> .001.</w:t>
      </w:r>
      <w:proofErr w:type="gramEnd"/>
    </w:p>
    <w:p w14:paraId="4937A393" w14:textId="77777777" w:rsidR="00AD7C10" w:rsidRDefault="00AD7C10" w:rsidP="00AD7C10">
      <w:pPr>
        <w:ind w:firstLine="720"/>
        <w:contextualSpacing/>
        <w:rPr>
          <w:b/>
        </w:rPr>
      </w:pPr>
    </w:p>
    <w:p w14:paraId="1D38FBC4" w14:textId="0A001F26" w:rsidR="00964C95" w:rsidRPr="00CD0241" w:rsidRDefault="00964C95" w:rsidP="00AD7C10">
      <w:pPr>
        <w:ind w:firstLine="720"/>
        <w:contextualSpacing/>
        <w:rPr>
          <w:sz w:val="20"/>
          <w:szCs w:val="20"/>
        </w:rPr>
      </w:pPr>
      <w:proofErr w:type="gramStart"/>
      <w:r w:rsidRPr="005C7D6E">
        <w:rPr>
          <w:b/>
        </w:rPr>
        <w:t>Intrinsic motivation.</w:t>
      </w:r>
      <w:proofErr w:type="gramEnd"/>
      <w:r>
        <w:t xml:space="preserve"> Intrinsic motivation was measured using two items from the Academic Motivation Scale (AMS</w:t>
      </w:r>
      <w:r w:rsidR="00DF45D8" w:rsidRPr="00CD0241">
        <w:t xml:space="preserve">; </w:t>
      </w:r>
      <w:proofErr w:type="spellStart"/>
      <w:r>
        <w:t>Vallerand</w:t>
      </w:r>
      <w:proofErr w:type="spellEnd"/>
      <w:r>
        <w:t xml:space="preserve"> et al., 1992</w:t>
      </w:r>
      <w:r w:rsidR="00584880">
        <w:t xml:space="preserve">; </w:t>
      </w:r>
      <w:r w:rsidR="00584880">
        <w:sym w:font="Symbol" w:char="F061"/>
      </w:r>
      <w:r w:rsidR="00584880">
        <w:t xml:space="preserve"> = .75</w:t>
      </w:r>
      <w:r w:rsidR="00DF45D8">
        <w:t xml:space="preserve">; e.g., </w:t>
      </w:r>
      <w:r w:rsidR="00DF45D8" w:rsidRPr="00DF45D8">
        <w:t>“</w:t>
      </w:r>
      <w:r w:rsidR="00DF45D8" w:rsidRPr="00CE60C9">
        <w:t>I am going to CEGEP because I experience pleasure and satisfaction while learning new things</w:t>
      </w:r>
      <w:r w:rsidR="00DF45D8">
        <w:t>”</w:t>
      </w:r>
      <w:r>
        <w:t xml:space="preserve">), an English version of the </w:t>
      </w:r>
      <w:proofErr w:type="spellStart"/>
      <w:r>
        <w:rPr>
          <w:i/>
          <w:iCs/>
        </w:rPr>
        <w:t>Echelle</w:t>
      </w:r>
      <w:proofErr w:type="spellEnd"/>
      <w:r>
        <w:rPr>
          <w:i/>
          <w:iCs/>
        </w:rPr>
        <w:t xml:space="preserve"> de Motivation en Education</w:t>
      </w:r>
      <w:r>
        <w:t xml:space="preserve"> (EME; </w:t>
      </w:r>
      <w:proofErr w:type="spellStart"/>
      <w:r>
        <w:t>Vallerand</w:t>
      </w:r>
      <w:proofErr w:type="spellEnd"/>
      <w:r>
        <w:t xml:space="preserve">, </w:t>
      </w:r>
      <w:proofErr w:type="spellStart"/>
      <w:r>
        <w:t>Blais</w:t>
      </w:r>
      <w:proofErr w:type="spellEnd"/>
      <w:r>
        <w:t xml:space="preserve">, </w:t>
      </w:r>
      <w:proofErr w:type="spellStart"/>
      <w:r>
        <w:t>Brière</w:t>
      </w:r>
      <w:proofErr w:type="spellEnd"/>
      <w:r>
        <w:t xml:space="preserve">, &amp; Pelletier, 1989). </w:t>
      </w:r>
    </w:p>
    <w:p w14:paraId="41B6EF66" w14:textId="3B8D04DB" w:rsidR="002B0455" w:rsidRDefault="00305BDB" w:rsidP="00AD7C10">
      <w:pPr>
        <w:ind w:firstLine="720"/>
        <w:contextualSpacing/>
      </w:pPr>
      <w:r w:rsidRPr="00CD0241">
        <w:rPr>
          <w:b/>
        </w:rPr>
        <w:t>Affect.</w:t>
      </w:r>
      <w:r>
        <w:t xml:space="preserve"> Affect was measured using </w:t>
      </w:r>
      <w:r w:rsidR="007D26C3">
        <w:t>two</w:t>
      </w:r>
      <w:r w:rsidR="00424526">
        <w:t xml:space="preserve"> </w:t>
      </w:r>
      <w:r w:rsidR="007D26C3">
        <w:t>four</w:t>
      </w:r>
      <w:r w:rsidR="00C260CB">
        <w:t>-</w:t>
      </w:r>
      <w:r w:rsidR="00424526">
        <w:t>item</w:t>
      </w:r>
      <w:r>
        <w:t xml:space="preserve"> scale</w:t>
      </w:r>
      <w:r w:rsidR="007D26C3">
        <w:t>s</w:t>
      </w:r>
      <w:r>
        <w:t xml:space="preserve"> </w:t>
      </w:r>
      <w:r w:rsidR="007D26C3">
        <w:t xml:space="preserve">evaluating </w:t>
      </w:r>
      <w:r w:rsidR="007A0508">
        <w:t xml:space="preserve">how often participants experienced </w:t>
      </w:r>
      <w:r>
        <w:t>positive emotions (joyful, happy, pleased, enjoyment</w:t>
      </w:r>
      <w:r w:rsidR="00CB79B7">
        <w:t xml:space="preserve">; </w:t>
      </w:r>
      <w:r w:rsidR="00CB79B7">
        <w:sym w:font="Symbol" w:char="F061"/>
      </w:r>
      <w:r w:rsidR="00CB79B7">
        <w:t xml:space="preserve"> = .86</w:t>
      </w:r>
      <w:r w:rsidR="007D26C3">
        <w:t>) and negative emotions (</w:t>
      </w:r>
      <w:r>
        <w:t>frustrated, worried/anxious, depressed, unhappy</w:t>
      </w:r>
      <w:r w:rsidR="00CB79B7">
        <w:t xml:space="preserve">; </w:t>
      </w:r>
      <w:r w:rsidR="00CB79B7">
        <w:sym w:font="Symbol" w:char="F061"/>
      </w:r>
      <w:r w:rsidR="00CB79B7">
        <w:t xml:space="preserve"> = .77</w:t>
      </w:r>
      <w:r w:rsidR="00374B97">
        <w:t xml:space="preserve">; </w:t>
      </w:r>
      <w:r w:rsidR="00CB79B7">
        <w:t>see</w:t>
      </w:r>
      <w:r w:rsidR="00424526">
        <w:t xml:space="preserve"> Emmons, 1992)</w:t>
      </w:r>
      <w:r w:rsidR="007A0508">
        <w:t xml:space="preserve"> in high school math and/or science classes.</w:t>
      </w:r>
    </w:p>
    <w:p w14:paraId="1F32C37C" w14:textId="4D832B80" w:rsidR="00305BDB" w:rsidRDefault="00305BDB" w:rsidP="00AD7C10">
      <w:pPr>
        <w:ind w:firstLine="720"/>
        <w:contextualSpacing/>
      </w:pPr>
      <w:proofErr w:type="gramStart"/>
      <w:r w:rsidRPr="00CD0241">
        <w:rPr>
          <w:b/>
        </w:rPr>
        <w:t>Achievement</w:t>
      </w:r>
      <w:r w:rsidR="00024714">
        <w:rPr>
          <w:b/>
        </w:rPr>
        <w:t xml:space="preserve"> and persistence</w:t>
      </w:r>
      <w:r w:rsidRPr="00CD0241">
        <w:rPr>
          <w:b/>
        </w:rPr>
        <w:t>.</w:t>
      </w:r>
      <w:proofErr w:type="gramEnd"/>
      <w:r>
        <w:t xml:space="preserve"> Grades for all students’ high school science courses were o</w:t>
      </w:r>
      <w:r w:rsidR="00FE114D">
        <w:t>btained from government records</w:t>
      </w:r>
      <w:r w:rsidR="00B65BFA">
        <w:t xml:space="preserve"> </w:t>
      </w:r>
      <w:r w:rsidR="00B65BFA" w:rsidRPr="00B65BFA">
        <w:t>(</w:t>
      </w:r>
      <w:proofErr w:type="spellStart"/>
      <w:r w:rsidR="00B65BFA" w:rsidRPr="00CD0241">
        <w:rPr>
          <w:i/>
        </w:rPr>
        <w:t>Ministère</w:t>
      </w:r>
      <w:proofErr w:type="spellEnd"/>
      <w:r w:rsidR="00B65BFA" w:rsidRPr="00CD0241">
        <w:rPr>
          <w:i/>
        </w:rPr>
        <w:t xml:space="preserve"> de </w:t>
      </w:r>
      <w:proofErr w:type="spellStart"/>
      <w:r w:rsidR="00B65BFA" w:rsidRPr="00CD0241">
        <w:rPr>
          <w:i/>
        </w:rPr>
        <w:t>l’Éducation</w:t>
      </w:r>
      <w:proofErr w:type="spellEnd"/>
      <w:r w:rsidR="00B65BFA" w:rsidRPr="00CD0241">
        <w:rPr>
          <w:i/>
        </w:rPr>
        <w:t xml:space="preserve">, du </w:t>
      </w:r>
      <w:proofErr w:type="spellStart"/>
      <w:r w:rsidR="00B65BFA" w:rsidRPr="00CD0241">
        <w:rPr>
          <w:i/>
        </w:rPr>
        <w:t>Loisir</w:t>
      </w:r>
      <w:proofErr w:type="spellEnd"/>
      <w:r w:rsidR="00B65BFA" w:rsidRPr="00CD0241">
        <w:rPr>
          <w:i/>
        </w:rPr>
        <w:t xml:space="preserve"> </w:t>
      </w:r>
      <w:proofErr w:type="gramStart"/>
      <w:r w:rsidR="00B65BFA" w:rsidRPr="00CD0241">
        <w:rPr>
          <w:i/>
        </w:rPr>
        <w:t>et</w:t>
      </w:r>
      <w:proofErr w:type="gramEnd"/>
      <w:r w:rsidR="00B65BFA" w:rsidRPr="00CD0241">
        <w:rPr>
          <w:i/>
        </w:rPr>
        <w:t xml:space="preserve"> du Sport</w:t>
      </w:r>
      <w:r w:rsidR="00B65BFA" w:rsidRPr="00B65BFA">
        <w:t>)</w:t>
      </w:r>
      <w:r w:rsidR="00FE114D">
        <w:t xml:space="preserve">. </w:t>
      </w:r>
      <w:r>
        <w:t xml:space="preserve">A total science achievement score for high school was computed by taking the mean of students’ </w:t>
      </w:r>
      <w:r w:rsidR="00FE114D">
        <w:t xml:space="preserve">grade 10 and 11 </w:t>
      </w:r>
      <w:r>
        <w:t xml:space="preserve">science grades from the following courses: </w:t>
      </w:r>
      <w:r w:rsidR="00C3388C">
        <w:t>grade 10</w:t>
      </w:r>
      <w:r>
        <w:t xml:space="preserve"> mathematics</w:t>
      </w:r>
      <w:r w:rsidR="00167D79">
        <w:t xml:space="preserve"> and </w:t>
      </w:r>
      <w:r>
        <w:t xml:space="preserve">physical science, </w:t>
      </w:r>
      <w:r w:rsidR="00167D79">
        <w:t xml:space="preserve">and </w:t>
      </w:r>
      <w:r w:rsidR="00C3388C">
        <w:t>grade 11</w:t>
      </w:r>
      <w:r>
        <w:t xml:space="preserve"> mathematics, physics, and chemistry</w:t>
      </w:r>
      <w:r w:rsidR="00C3388C">
        <w:t xml:space="preserve"> (Quebec high schools do not include grade 12)</w:t>
      </w:r>
      <w:r>
        <w:t xml:space="preserve">. </w:t>
      </w:r>
      <w:r w:rsidR="008B5106">
        <w:t>Persistence in STEM education was operationalized dichotomously as students’ enrolment in a science</w:t>
      </w:r>
      <w:r w:rsidR="00024714">
        <w:t xml:space="preserve"> program</w:t>
      </w:r>
      <w:r w:rsidR="008B5106">
        <w:t xml:space="preserve"> </w:t>
      </w:r>
      <w:r w:rsidR="00024714">
        <w:t>(</w:t>
      </w:r>
      <w:r w:rsidR="00024714">
        <w:rPr>
          <w:i/>
        </w:rPr>
        <w:t xml:space="preserve">N </w:t>
      </w:r>
      <w:r w:rsidR="00024714">
        <w:t xml:space="preserve">= 978) </w:t>
      </w:r>
      <w:r w:rsidR="008B5106">
        <w:t>vs. non</w:t>
      </w:r>
      <w:r w:rsidR="00C260CB">
        <w:t>-</w:t>
      </w:r>
      <w:r w:rsidR="008B5106">
        <w:t>science program (</w:t>
      </w:r>
      <w:r w:rsidR="00024714">
        <w:rPr>
          <w:i/>
        </w:rPr>
        <w:t xml:space="preserve">N </w:t>
      </w:r>
      <w:r w:rsidR="00024714">
        <w:t>= 331) in one of the four participating CEGEP institutions</w:t>
      </w:r>
      <w:r w:rsidR="008B5106">
        <w:t>.</w:t>
      </w:r>
    </w:p>
    <w:p w14:paraId="4EFA822C" w14:textId="77777777" w:rsidR="00AD7C10" w:rsidRDefault="00AD7C10" w:rsidP="00AD7C10">
      <w:pPr>
        <w:ind w:firstLine="720"/>
        <w:contextualSpacing/>
      </w:pPr>
    </w:p>
    <w:p w14:paraId="1A3E1F73" w14:textId="018E24EA" w:rsidR="00305BDB" w:rsidRPr="00CD0241" w:rsidRDefault="005D24AB" w:rsidP="00AD7C10">
      <w:pPr>
        <w:contextualSpacing/>
        <w:rPr>
          <w:b/>
        </w:rPr>
      </w:pPr>
      <w:r w:rsidRPr="00CD0241">
        <w:rPr>
          <w:b/>
          <w:iCs/>
        </w:rPr>
        <w:t xml:space="preserve">Rationale for </w:t>
      </w:r>
      <w:r w:rsidR="00305BDB" w:rsidRPr="00CD0241">
        <w:rPr>
          <w:b/>
          <w:iCs/>
        </w:rPr>
        <w:t>Analy</w:t>
      </w:r>
      <w:r w:rsidRPr="00CD0241">
        <w:rPr>
          <w:b/>
          <w:iCs/>
        </w:rPr>
        <w:t>sis</w:t>
      </w:r>
    </w:p>
    <w:p w14:paraId="7B60C393" w14:textId="77777777" w:rsidR="00AD7C10" w:rsidRDefault="00AD7C10" w:rsidP="00AD7C10">
      <w:pPr>
        <w:ind w:firstLine="720"/>
        <w:contextualSpacing/>
      </w:pPr>
    </w:p>
    <w:p w14:paraId="3BFD3099" w14:textId="60C9FE32" w:rsidR="00246D1D" w:rsidRDefault="00846931" w:rsidP="00AD7C10">
      <w:pPr>
        <w:ind w:firstLine="720"/>
        <w:contextualSpacing/>
      </w:pPr>
      <w:r>
        <w:t>S</w:t>
      </w:r>
      <w:r w:rsidR="00305BDB">
        <w:t xml:space="preserve">tructural equation modeling (SEM) was </w:t>
      </w:r>
      <w:r w:rsidR="00F03EF8">
        <w:t xml:space="preserve">conducted </w:t>
      </w:r>
      <w:r w:rsidR="00305BDB">
        <w:t>using EQS software</w:t>
      </w:r>
      <w:r>
        <w:t xml:space="preserve"> to examine the extent to which the proposed model accounted for male and female students’ decisions to </w:t>
      </w:r>
      <w:proofErr w:type="spellStart"/>
      <w:r w:rsidR="005D24AB">
        <w:t>enrol</w:t>
      </w:r>
      <w:proofErr w:type="spellEnd"/>
      <w:r>
        <w:t xml:space="preserve"> in science in CEGEP</w:t>
      </w:r>
      <w:r w:rsidR="00F03EF8">
        <w:t xml:space="preserve"> (see preceding hypotheses in “The Present Research”)</w:t>
      </w:r>
      <w:r w:rsidR="00DC5A3D">
        <w:t>. T</w:t>
      </w:r>
      <w:r w:rsidR="00305BDB" w:rsidRPr="0071748A">
        <w:t xml:space="preserve">he model was </w:t>
      </w:r>
      <w:r w:rsidR="00DC5A3D">
        <w:t xml:space="preserve">first </w:t>
      </w:r>
      <w:r w:rsidR="00F03EF8">
        <w:t xml:space="preserve">evaluated </w:t>
      </w:r>
      <w:r w:rsidR="00DC5A3D">
        <w:t xml:space="preserve">for the </w:t>
      </w:r>
      <w:r w:rsidR="00F03EF8">
        <w:t xml:space="preserve">total </w:t>
      </w:r>
      <w:r w:rsidR="00DC5A3D">
        <w:t xml:space="preserve">sample and then </w:t>
      </w:r>
      <w:r w:rsidR="00F03EF8">
        <w:t>assessed</w:t>
      </w:r>
      <w:r w:rsidR="00F03EF8" w:rsidRPr="0071748A">
        <w:t xml:space="preserve"> </w:t>
      </w:r>
      <w:r w:rsidR="00305BDB" w:rsidRPr="0071748A">
        <w:t xml:space="preserve">separately for males and females </w:t>
      </w:r>
      <w:r w:rsidR="00F03EF8">
        <w:t xml:space="preserve">students </w:t>
      </w:r>
      <w:r w:rsidR="00305BDB" w:rsidRPr="0071748A">
        <w:t>to examine structural</w:t>
      </w:r>
      <w:r w:rsidR="00305BDB" w:rsidRPr="006A7D3E">
        <w:t xml:space="preserve"> differences </w:t>
      </w:r>
      <w:r w:rsidR="00F03EF8">
        <w:t>due to gender</w:t>
      </w:r>
      <w:r w:rsidR="00305BDB" w:rsidRPr="006A7D3E">
        <w:t xml:space="preserve">. </w:t>
      </w:r>
      <w:r w:rsidR="00DC5A3D">
        <w:t xml:space="preserve">The robust maximum likelihood (RML) method of estimation was used for missing data (Byrne, </w:t>
      </w:r>
      <w:r w:rsidR="00DC5A3D" w:rsidRPr="00DC5A3D">
        <w:t>2001</w:t>
      </w:r>
      <w:r w:rsidR="00F03EF8">
        <w:t>). Directional</w:t>
      </w:r>
      <w:r w:rsidR="001B5C84">
        <w:t xml:space="preserve"> paths </w:t>
      </w:r>
      <w:r w:rsidR="00F03EF8">
        <w:t xml:space="preserve">between latent variables </w:t>
      </w:r>
      <w:r w:rsidR="00F03EF8">
        <w:lastRenderedPageBreak/>
        <w:t xml:space="preserve">were modeled as per the study hypotheses based on </w:t>
      </w:r>
      <w:r w:rsidR="001B5C84">
        <w:t xml:space="preserve">existing </w:t>
      </w:r>
      <w:r w:rsidR="00736A9F">
        <w:t xml:space="preserve">motivation </w:t>
      </w:r>
      <w:r w:rsidR="001B5C84">
        <w:t xml:space="preserve">research, </w:t>
      </w:r>
      <w:r w:rsidR="00F03EF8">
        <w:t xml:space="preserve">with </w:t>
      </w:r>
      <w:r w:rsidR="001B5C84">
        <w:t>non</w:t>
      </w:r>
      <w:r w:rsidR="00AA113A">
        <w:t>-</w:t>
      </w:r>
      <w:r w:rsidR="001B5C84">
        <w:t xml:space="preserve">significant paths </w:t>
      </w:r>
      <w:r w:rsidR="00F03EF8">
        <w:t>retained to provide a more conservative analysis of the analytical model</w:t>
      </w:r>
      <w:r w:rsidR="001B5C84">
        <w:t xml:space="preserve">.   </w:t>
      </w:r>
    </w:p>
    <w:p w14:paraId="4A3BC654" w14:textId="77777777" w:rsidR="00AD7C10" w:rsidRDefault="00AD7C10" w:rsidP="00AD7C10">
      <w:pPr>
        <w:contextualSpacing/>
        <w:jc w:val="center"/>
        <w:rPr>
          <w:b/>
          <w:iCs/>
          <w:lang w:val="en-CA"/>
        </w:rPr>
      </w:pPr>
    </w:p>
    <w:p w14:paraId="3701D0DE" w14:textId="77777777" w:rsidR="00866C9C" w:rsidRDefault="00866C9C" w:rsidP="00AD7C10">
      <w:pPr>
        <w:contextualSpacing/>
        <w:jc w:val="center"/>
        <w:rPr>
          <w:b/>
          <w:iCs/>
          <w:lang w:val="en-CA"/>
        </w:rPr>
      </w:pPr>
      <w:r w:rsidRPr="00CD0241">
        <w:rPr>
          <w:b/>
          <w:iCs/>
          <w:lang w:val="en-CA"/>
        </w:rPr>
        <w:t>Results</w:t>
      </w:r>
    </w:p>
    <w:p w14:paraId="72345BF4" w14:textId="77777777" w:rsidR="00AD7C10" w:rsidRPr="00CD0241" w:rsidRDefault="00AD7C10" w:rsidP="00AD7C10">
      <w:pPr>
        <w:contextualSpacing/>
        <w:jc w:val="center"/>
        <w:rPr>
          <w:b/>
        </w:rPr>
      </w:pPr>
    </w:p>
    <w:p w14:paraId="2380D5D7" w14:textId="2215C59C" w:rsidR="002466DC" w:rsidRDefault="00BA11EC" w:rsidP="00AD7C10">
      <w:pPr>
        <w:pStyle w:val="BodyTextIndent"/>
        <w:spacing w:line="240" w:lineRule="auto"/>
        <w:ind w:firstLine="0"/>
        <w:contextualSpacing/>
        <w:rPr>
          <w:b/>
          <w:iCs/>
        </w:rPr>
      </w:pPr>
      <w:r>
        <w:rPr>
          <w:b/>
          <w:iCs/>
          <w:noProof/>
          <w:sz w:val="20"/>
          <w:lang w:eastAsia="en-CA"/>
        </w:rPr>
        <mc:AlternateContent>
          <mc:Choice Requires="wps">
            <w:drawing>
              <wp:anchor distT="0" distB="0" distL="114300" distR="114300" simplePos="0" relativeHeight="251660288" behindDoc="0" locked="1" layoutInCell="1" allowOverlap="1" wp14:anchorId="00E1E649" wp14:editId="010E406A">
                <wp:simplePos x="0" y="0"/>
                <wp:positionH relativeFrom="column">
                  <wp:posOffset>1028700</wp:posOffset>
                </wp:positionH>
                <wp:positionV relativeFrom="paragraph">
                  <wp:posOffset>-1249045</wp:posOffset>
                </wp:positionV>
                <wp:extent cx="169545" cy="146050"/>
                <wp:effectExtent l="0" t="3810" r="1905" b="254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70ED9" w14:textId="77777777" w:rsidR="00CD0241" w:rsidRDefault="00CD0241" w:rsidP="00866C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1pt;margin-top:-98.35pt;width:13.35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" filled="f" stroked="f">
                <v:textbox inset="0,0,0,0">
                  <w:txbxContent>
                    <w:p w14:paraId="00970ED9" w14:textId="77777777" w:rsidR="00CD0241" w:rsidRDefault="00CD0241" w:rsidP="00866C9C"/>
                  </w:txbxContent>
                </v:textbox>
                <w10:anchorlock/>
              </v:rect>
            </w:pict>
          </mc:Fallback>
        </mc:AlternateContent>
      </w:r>
      <w:r w:rsidR="00866C9C" w:rsidRPr="00CD0241">
        <w:rPr>
          <w:b/>
          <w:iCs/>
        </w:rPr>
        <w:t xml:space="preserve">Full </w:t>
      </w:r>
      <w:r w:rsidR="002466DC" w:rsidRPr="00CD0241">
        <w:rPr>
          <w:b/>
          <w:iCs/>
        </w:rPr>
        <w:t>S</w:t>
      </w:r>
      <w:r w:rsidR="00866C9C" w:rsidRPr="00CD0241">
        <w:rPr>
          <w:b/>
          <w:iCs/>
        </w:rPr>
        <w:t xml:space="preserve">ample </w:t>
      </w:r>
    </w:p>
    <w:p w14:paraId="5DB89EDE" w14:textId="77777777" w:rsidR="00AD7C10" w:rsidRPr="00CD0241" w:rsidRDefault="00AD7C10" w:rsidP="00AD7C10">
      <w:pPr>
        <w:pStyle w:val="BodyTextIndent"/>
        <w:spacing w:line="240" w:lineRule="auto"/>
        <w:ind w:firstLine="0"/>
        <w:contextualSpacing/>
        <w:rPr>
          <w:b/>
          <w:iCs/>
        </w:rPr>
      </w:pPr>
    </w:p>
    <w:p w14:paraId="71DB2566" w14:textId="21374DEB" w:rsidR="00866C9C" w:rsidRDefault="00866C9C" w:rsidP="00AD7C10">
      <w:pPr>
        <w:ind w:firstLine="720"/>
        <w:contextualSpacing/>
      </w:pPr>
      <w:r>
        <w:t xml:space="preserve">The overall fit of this model was satisfactory: </w:t>
      </w:r>
      <w:r>
        <w:sym w:font="Symbol" w:char="F063"/>
      </w:r>
      <w:r>
        <w:rPr>
          <w:vertAlign w:val="superscript"/>
        </w:rPr>
        <w:t xml:space="preserve">2 </w:t>
      </w:r>
      <w:r>
        <w:t xml:space="preserve">(101) = 467.52, </w:t>
      </w:r>
      <w:r>
        <w:rPr>
          <w:i/>
          <w:iCs/>
        </w:rPr>
        <w:t>p</w:t>
      </w:r>
      <w:r>
        <w:t xml:space="preserve"> &lt; .001, </w:t>
      </w:r>
      <w:r>
        <w:sym w:font="Symbol" w:char="F063"/>
      </w:r>
      <w:r>
        <w:rPr>
          <w:vertAlign w:val="superscript"/>
        </w:rPr>
        <w:t>2</w:t>
      </w:r>
      <w:r>
        <w:t>/</w:t>
      </w:r>
      <w:proofErr w:type="spellStart"/>
      <w:r>
        <w:t>df</w:t>
      </w:r>
      <w:proofErr w:type="spellEnd"/>
      <w:r>
        <w:t xml:space="preserve"> = 4.63, CFI = .940, NNFI = .918, RMSEA = .053. Results of the Wald test </w:t>
      </w:r>
      <w:r w:rsidR="0031499B">
        <w:t>showed</w:t>
      </w:r>
      <w:r>
        <w:t xml:space="preserve"> three parameters </w:t>
      </w:r>
      <w:r w:rsidR="0031499B">
        <w:t xml:space="preserve">to be </w:t>
      </w:r>
      <w:r>
        <w:t>non</w:t>
      </w:r>
      <w:r w:rsidR="00AA113A">
        <w:t>-</w:t>
      </w:r>
      <w:r>
        <w:t>significant (F7</w:t>
      </w:r>
      <w:proofErr w:type="gramStart"/>
      <w:r>
        <w:t>,F1</w:t>
      </w:r>
      <w:proofErr w:type="gramEnd"/>
      <w:r>
        <w:t>, F9,F7, and F9,F6). Re</w:t>
      </w:r>
      <w:r w:rsidR="00AA113A">
        <w:t>-</w:t>
      </w:r>
      <w:r>
        <w:t>running the model without the three non</w:t>
      </w:r>
      <w:r w:rsidR="00C260CB">
        <w:t>-</w:t>
      </w:r>
      <w:r>
        <w:t xml:space="preserve">significant paths yielded the following results: </w:t>
      </w:r>
      <w:r>
        <w:sym w:font="Symbol" w:char="F063"/>
      </w:r>
      <w:r>
        <w:rPr>
          <w:vertAlign w:val="superscript"/>
        </w:rPr>
        <w:t xml:space="preserve">2 </w:t>
      </w:r>
      <w:r>
        <w:t xml:space="preserve">(104) = 469.86, </w:t>
      </w:r>
      <w:r>
        <w:rPr>
          <w:i/>
          <w:iCs/>
        </w:rPr>
        <w:t>p</w:t>
      </w:r>
      <w:r>
        <w:t xml:space="preserve"> &lt; .001, </w:t>
      </w:r>
      <w:r>
        <w:sym w:font="Symbol" w:char="F063"/>
      </w:r>
      <w:r>
        <w:rPr>
          <w:vertAlign w:val="superscript"/>
        </w:rPr>
        <w:t>2</w:t>
      </w:r>
      <w:r>
        <w:t>/</w:t>
      </w:r>
      <w:proofErr w:type="spellStart"/>
      <w:r>
        <w:t>df</w:t>
      </w:r>
      <w:proofErr w:type="spellEnd"/>
      <w:r>
        <w:t xml:space="preserve"> = 4.52, CFI = .940, NNFI = .920, RMSEA = .052 (see </w:t>
      </w:r>
      <w:r w:rsidRPr="00CD0241">
        <w:rPr>
          <w:lang w:val="en-CA"/>
        </w:rPr>
        <w:t xml:space="preserve">Figure </w:t>
      </w:r>
      <w:r w:rsidR="000A4B90" w:rsidRPr="00CD0241">
        <w:rPr>
          <w:lang w:val="en-CA"/>
        </w:rPr>
        <w:t>1</w:t>
      </w:r>
      <w:r>
        <w:t xml:space="preserve">). </w:t>
      </w:r>
      <w:r w:rsidR="00071723">
        <w:t xml:space="preserve">Contrary to expectations, autonomy </w:t>
      </w:r>
      <w:r w:rsidR="005D24AB">
        <w:t xml:space="preserve">support </w:t>
      </w:r>
      <w:r w:rsidR="00071723">
        <w:t xml:space="preserve">was not found to significantly predict </w:t>
      </w:r>
      <w:r w:rsidR="005D24AB">
        <w:t>intrinsic motivation (</w:t>
      </w:r>
      <w:r w:rsidR="005D24AB">
        <w:sym w:font="Symbol" w:char="F062"/>
      </w:r>
      <w:r w:rsidR="005D24AB">
        <w:t xml:space="preserve"> = .03, </w:t>
      </w:r>
      <w:r w:rsidR="005D24AB">
        <w:rPr>
          <w:i/>
          <w:iCs/>
        </w:rPr>
        <w:t>p</w:t>
      </w:r>
      <w:r w:rsidR="009D424B">
        <w:t xml:space="preserve"> &gt; .05), but did significantly predict </w:t>
      </w:r>
      <w:r w:rsidR="005D24AB">
        <w:t>positive affect (</w:t>
      </w:r>
      <w:r w:rsidR="005D24AB">
        <w:sym w:font="Symbol" w:char="F062"/>
      </w:r>
      <w:r w:rsidR="005D24AB">
        <w:t xml:space="preserve"> = .20, </w:t>
      </w:r>
      <w:r w:rsidR="005D24AB">
        <w:rPr>
          <w:i/>
          <w:iCs/>
        </w:rPr>
        <w:t>p</w:t>
      </w:r>
      <w:r w:rsidR="005D24AB">
        <w:t xml:space="preserve"> &lt; .05) and negative affect (</w:t>
      </w:r>
      <w:r w:rsidR="005D24AB">
        <w:sym w:font="Symbol" w:char="F062"/>
      </w:r>
      <w:r w:rsidR="005D24AB">
        <w:t xml:space="preserve"> = </w:t>
      </w:r>
      <w:r w:rsidR="00AA113A">
        <w:t>-</w:t>
      </w:r>
      <w:r w:rsidR="005D24AB">
        <w:t xml:space="preserve">.15, </w:t>
      </w:r>
      <w:r w:rsidR="005D24AB">
        <w:rPr>
          <w:i/>
          <w:iCs/>
        </w:rPr>
        <w:t>p</w:t>
      </w:r>
      <w:r w:rsidR="005D24AB">
        <w:t xml:space="preserve"> &lt; .05)</w:t>
      </w:r>
      <w:r w:rsidR="009D424B">
        <w:t xml:space="preserve"> in the expected directions</w:t>
      </w:r>
      <w:r w:rsidR="005D24AB">
        <w:t>.</w:t>
      </w:r>
      <w:r w:rsidR="009D424B">
        <w:t xml:space="preserve"> </w:t>
      </w:r>
      <w:bookmarkStart w:id="4" w:name="_MON_1259587423"/>
      <w:bookmarkStart w:id="5" w:name="_MON_1259587471"/>
      <w:bookmarkStart w:id="6" w:name="_MON_1259587493"/>
      <w:bookmarkStart w:id="7" w:name="_MON_1259587539"/>
      <w:bookmarkStart w:id="8" w:name="_MON_1259587389"/>
      <w:bookmarkEnd w:id="4"/>
      <w:bookmarkEnd w:id="5"/>
      <w:bookmarkEnd w:id="6"/>
      <w:bookmarkEnd w:id="7"/>
      <w:bookmarkEnd w:id="8"/>
      <w:r w:rsidR="0066113F">
        <w:t>S</w:t>
      </w:r>
      <w:r>
        <w:t>elf</w:t>
      </w:r>
      <w:r w:rsidR="00AA113A">
        <w:t>-</w:t>
      </w:r>
      <w:r>
        <w:t xml:space="preserve">efficacy </w:t>
      </w:r>
      <w:r w:rsidR="0066113F">
        <w:t xml:space="preserve">was, however, found to positively predict </w:t>
      </w:r>
      <w:r>
        <w:t>intrinsic motivation (</w:t>
      </w:r>
      <w:r>
        <w:sym w:font="Symbol" w:char="F062"/>
      </w:r>
      <w:r>
        <w:t xml:space="preserve"> = .14, </w:t>
      </w:r>
      <w:r>
        <w:rPr>
          <w:i/>
          <w:iCs/>
        </w:rPr>
        <w:t>p</w:t>
      </w:r>
      <w:r>
        <w:t xml:space="preserve"> &lt; .05)</w:t>
      </w:r>
      <w:r w:rsidR="0066113F">
        <w:t xml:space="preserve"> as well as</w:t>
      </w:r>
      <w:r>
        <w:t xml:space="preserve"> positive affect (</w:t>
      </w:r>
      <w:r>
        <w:sym w:font="Symbol" w:char="F062"/>
      </w:r>
      <w:r>
        <w:t xml:space="preserve"> = .37, </w:t>
      </w:r>
      <w:r>
        <w:rPr>
          <w:i/>
          <w:iCs/>
        </w:rPr>
        <w:t>p</w:t>
      </w:r>
      <w:r>
        <w:t xml:space="preserve"> &lt; .05)</w:t>
      </w:r>
      <w:r w:rsidR="00657708">
        <w:t xml:space="preserve"> and achievement (</w:t>
      </w:r>
      <w:r w:rsidR="00657708">
        <w:sym w:font="Symbol" w:char="F062"/>
      </w:r>
      <w:r w:rsidR="00657708">
        <w:t xml:space="preserve"> = .31, </w:t>
      </w:r>
      <w:r w:rsidR="00657708">
        <w:rPr>
          <w:i/>
          <w:iCs/>
        </w:rPr>
        <w:t xml:space="preserve">p </w:t>
      </w:r>
      <w:r w:rsidR="00657708">
        <w:t>&lt; .05)</w:t>
      </w:r>
      <w:r>
        <w:t xml:space="preserve">, and </w:t>
      </w:r>
      <w:r w:rsidR="0066113F">
        <w:t xml:space="preserve">negatively predict </w:t>
      </w:r>
      <w:r>
        <w:t>negative affect (</w:t>
      </w:r>
      <w:r>
        <w:sym w:font="Symbol" w:char="F062"/>
      </w:r>
      <w:r>
        <w:t xml:space="preserve"> = </w:t>
      </w:r>
      <w:r w:rsidR="00D83853">
        <w:t>-</w:t>
      </w:r>
      <w:r>
        <w:t xml:space="preserve">.66, </w:t>
      </w:r>
      <w:r>
        <w:rPr>
          <w:i/>
          <w:iCs/>
        </w:rPr>
        <w:t>p</w:t>
      </w:r>
      <w:r>
        <w:t xml:space="preserve"> &lt; .05). </w:t>
      </w:r>
      <w:r w:rsidR="00657708">
        <w:t>M</w:t>
      </w:r>
      <w:r>
        <w:t>astery</w:t>
      </w:r>
      <w:r w:rsidR="00657708">
        <w:t xml:space="preserve"> </w:t>
      </w:r>
      <w:r>
        <w:t>goal</w:t>
      </w:r>
      <w:r w:rsidR="00657708">
        <w:t xml:space="preserve">s also positively predicted </w:t>
      </w:r>
      <w:r>
        <w:t>intrinsic motivation (</w:t>
      </w:r>
      <w:r>
        <w:sym w:font="Symbol" w:char="F062"/>
      </w:r>
      <w:r>
        <w:t xml:space="preserve"> = .89, </w:t>
      </w:r>
      <w:r>
        <w:rPr>
          <w:i/>
          <w:iCs/>
        </w:rPr>
        <w:t>p</w:t>
      </w:r>
      <w:r>
        <w:t xml:space="preserve"> &lt; .05)</w:t>
      </w:r>
      <w:r w:rsidR="00657708">
        <w:t xml:space="preserve"> and, to a lesser extent, positive affect</w:t>
      </w:r>
      <w:r>
        <w:t xml:space="preserve"> (</w:t>
      </w:r>
      <w:r>
        <w:sym w:font="Symbol" w:char="F062"/>
      </w:r>
      <w:r>
        <w:t xml:space="preserve"> = .28, </w:t>
      </w:r>
      <w:r>
        <w:rPr>
          <w:i/>
          <w:iCs/>
        </w:rPr>
        <w:t>p</w:t>
      </w:r>
      <w:r>
        <w:t xml:space="preserve"> &lt; .05)</w:t>
      </w:r>
      <w:r w:rsidR="00657708">
        <w:t xml:space="preserve">, with </w:t>
      </w:r>
      <w:r>
        <w:t>performance goal</w:t>
      </w:r>
      <w:r w:rsidR="00657708">
        <w:t xml:space="preserve">s positively predicting </w:t>
      </w:r>
      <w:r>
        <w:t>negative affect (</w:t>
      </w:r>
      <w:r>
        <w:sym w:font="Symbol" w:char="F062"/>
      </w:r>
      <w:r>
        <w:t xml:space="preserve"> = .24, </w:t>
      </w:r>
      <w:r>
        <w:rPr>
          <w:i/>
          <w:iCs/>
        </w:rPr>
        <w:t>p</w:t>
      </w:r>
      <w:r>
        <w:t xml:space="preserve"> &lt; .05) and achievement (</w:t>
      </w:r>
      <w:r>
        <w:sym w:font="Symbol" w:char="F062"/>
      </w:r>
      <w:r>
        <w:t xml:space="preserve"> = .10, </w:t>
      </w:r>
      <w:r>
        <w:rPr>
          <w:i/>
          <w:iCs/>
        </w:rPr>
        <w:t>p</w:t>
      </w:r>
      <w:r>
        <w:t xml:space="preserve"> &lt; .05). </w:t>
      </w:r>
      <w:r w:rsidR="00A201E1">
        <w:t xml:space="preserve">Concerning the hypothesized effects on persistence, whereas </w:t>
      </w:r>
      <w:r>
        <w:t xml:space="preserve">positive affect </w:t>
      </w:r>
      <w:r w:rsidR="00A201E1">
        <w:t xml:space="preserve">positively predicted </w:t>
      </w:r>
      <w:r>
        <w:t>persistence (</w:t>
      </w:r>
      <w:r>
        <w:sym w:font="Symbol" w:char="F062"/>
      </w:r>
      <w:r>
        <w:t xml:space="preserve"> = .17, </w:t>
      </w:r>
      <w:r>
        <w:rPr>
          <w:i/>
          <w:iCs/>
        </w:rPr>
        <w:t>p</w:t>
      </w:r>
      <w:r>
        <w:t xml:space="preserve"> &lt; .05) the </w:t>
      </w:r>
      <w:r w:rsidR="00A201E1">
        <w:t>effects of</w:t>
      </w:r>
      <w:r>
        <w:t xml:space="preserve"> negative affect </w:t>
      </w:r>
      <w:r w:rsidR="00A201E1">
        <w:t>(</w:t>
      </w:r>
      <w:r w:rsidR="00A201E1">
        <w:sym w:font="Symbol" w:char="F062"/>
      </w:r>
      <w:r w:rsidR="00A201E1">
        <w:t xml:space="preserve"> = </w:t>
      </w:r>
      <w:r w:rsidR="00AA113A">
        <w:t>-</w:t>
      </w:r>
      <w:r w:rsidR="00A201E1">
        <w:t xml:space="preserve">.05, </w:t>
      </w:r>
      <w:r w:rsidR="00A201E1">
        <w:rPr>
          <w:i/>
          <w:iCs/>
        </w:rPr>
        <w:t xml:space="preserve">p </w:t>
      </w:r>
      <w:r w:rsidR="00A201E1">
        <w:t>&gt; .05) and intrinsic motivation (</w:t>
      </w:r>
      <w:r w:rsidR="00A201E1">
        <w:sym w:font="Symbol" w:char="F062"/>
      </w:r>
      <w:r w:rsidR="00A201E1">
        <w:t xml:space="preserve"> = .05, </w:t>
      </w:r>
      <w:r w:rsidR="00A201E1">
        <w:rPr>
          <w:i/>
          <w:iCs/>
        </w:rPr>
        <w:t>p</w:t>
      </w:r>
      <w:r w:rsidR="00A201E1">
        <w:t xml:space="preserve"> &gt; .05) were</w:t>
      </w:r>
      <w:r>
        <w:t xml:space="preserve"> no</w:t>
      </w:r>
      <w:r w:rsidR="00A201E1">
        <w:t xml:space="preserve">t </w:t>
      </w:r>
      <w:r>
        <w:t xml:space="preserve">significant. Finally, the </w:t>
      </w:r>
      <w:r w:rsidR="006E3912">
        <w:t>effect of</w:t>
      </w:r>
      <w:r>
        <w:t xml:space="preserve"> achievement </w:t>
      </w:r>
      <w:r w:rsidR="006E3912">
        <w:t xml:space="preserve">on </w:t>
      </w:r>
      <w:r>
        <w:t>persistence was positive and significant (</w:t>
      </w:r>
      <w:r>
        <w:sym w:font="Symbol" w:char="F062"/>
      </w:r>
      <w:r>
        <w:t xml:space="preserve"> = .32, </w:t>
      </w:r>
      <w:r>
        <w:rPr>
          <w:i/>
          <w:iCs/>
        </w:rPr>
        <w:t>p</w:t>
      </w:r>
      <w:r>
        <w:t xml:space="preserve"> &lt; .05).</w:t>
      </w:r>
    </w:p>
    <w:p w14:paraId="7DBFBAF5" w14:textId="77777777" w:rsidR="00AD7C10" w:rsidRDefault="00AD7C10" w:rsidP="00AD7C10">
      <w:pPr>
        <w:ind w:firstLine="720"/>
        <w:contextualSpacing/>
      </w:pPr>
    </w:p>
    <w:p w14:paraId="505EE3AE" w14:textId="77777777" w:rsidR="0038249F" w:rsidRDefault="0038249F" w:rsidP="00AD7C10">
      <w:pPr>
        <w:contextualSpacing/>
      </w:pPr>
      <w:r>
        <w:rPr>
          <w:noProof/>
          <w:lang w:val="en-CA" w:eastAsia="en-CA"/>
        </w:rPr>
        <w:drawing>
          <wp:inline distT="0" distB="0" distL="0" distR="0" wp14:anchorId="5E5DA057" wp14:editId="48DD05FE">
            <wp:extent cx="5948680" cy="35229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8680" cy="3522980"/>
                    </a:xfrm>
                    <a:prstGeom prst="rect">
                      <a:avLst/>
                    </a:prstGeom>
                    <a:noFill/>
                    <a:ln>
                      <a:noFill/>
                    </a:ln>
                  </pic:spPr>
                </pic:pic>
              </a:graphicData>
            </a:graphic>
          </wp:inline>
        </w:drawing>
      </w:r>
    </w:p>
    <w:p w14:paraId="63515789" w14:textId="77777777" w:rsidR="0038249F" w:rsidRDefault="0038249F" w:rsidP="00AD7C10">
      <w:pPr>
        <w:contextualSpacing/>
      </w:pPr>
    </w:p>
    <w:p w14:paraId="42980DFE" w14:textId="77777777" w:rsidR="0038249F" w:rsidRDefault="0038249F" w:rsidP="00AD7C10">
      <w:pPr>
        <w:pStyle w:val="Header"/>
        <w:tabs>
          <w:tab w:val="clear" w:pos="4320"/>
          <w:tab w:val="clear" w:pos="8640"/>
        </w:tabs>
        <w:contextualSpacing/>
      </w:pPr>
      <w:proofErr w:type="gramStart"/>
      <w:r w:rsidRPr="00F53A6C">
        <w:rPr>
          <w:i/>
          <w:iCs/>
        </w:rPr>
        <w:t xml:space="preserve">Figure </w:t>
      </w:r>
      <w:r>
        <w:rPr>
          <w:i/>
          <w:iCs/>
        </w:rPr>
        <w:t>1</w:t>
      </w:r>
      <w:r>
        <w:t>.</w:t>
      </w:r>
      <w:proofErr w:type="gramEnd"/>
      <w:r>
        <w:t xml:space="preserve"> Structural equation model: Total sample.</w:t>
      </w:r>
    </w:p>
    <w:p w14:paraId="7A696026" w14:textId="66B33D5C" w:rsidR="002466DC" w:rsidRDefault="00A711C0" w:rsidP="00AD7C10">
      <w:pPr>
        <w:contextualSpacing/>
        <w:rPr>
          <w:b/>
        </w:rPr>
      </w:pPr>
      <w:r w:rsidRPr="00CD0241">
        <w:rPr>
          <w:b/>
          <w:iCs/>
        </w:rPr>
        <w:lastRenderedPageBreak/>
        <w:t xml:space="preserve">Females vs. </w:t>
      </w:r>
      <w:r w:rsidR="002466DC" w:rsidRPr="00CD0241">
        <w:rPr>
          <w:b/>
          <w:iCs/>
        </w:rPr>
        <w:t>M</w:t>
      </w:r>
      <w:r w:rsidRPr="00CD0241">
        <w:rPr>
          <w:b/>
          <w:iCs/>
        </w:rPr>
        <w:t>ales</w:t>
      </w:r>
      <w:r w:rsidR="00866C9C" w:rsidRPr="00CD0241">
        <w:rPr>
          <w:b/>
        </w:rPr>
        <w:t xml:space="preserve"> </w:t>
      </w:r>
    </w:p>
    <w:p w14:paraId="1A6124E4" w14:textId="77777777" w:rsidR="00AD7C10" w:rsidRPr="00CD0241" w:rsidRDefault="00AD7C10" w:rsidP="00AD7C10">
      <w:pPr>
        <w:contextualSpacing/>
        <w:rPr>
          <w:b/>
        </w:rPr>
      </w:pPr>
    </w:p>
    <w:p w14:paraId="6E180D3E" w14:textId="13550BA9" w:rsidR="00C73193" w:rsidRDefault="008D4139" w:rsidP="00AD7C10">
      <w:pPr>
        <w:ind w:firstLine="720"/>
        <w:contextualSpacing/>
      </w:pPr>
      <w:r>
        <w:t xml:space="preserve">To evaluate the extent to which the </w:t>
      </w:r>
      <w:r w:rsidR="00A8072A">
        <w:t>results</w:t>
      </w:r>
      <w:r>
        <w:t xml:space="preserve"> </w:t>
      </w:r>
      <w:r w:rsidR="00AD7C10">
        <w:t xml:space="preserve">above </w:t>
      </w:r>
      <w:r>
        <w:t>were moderated by gender</w:t>
      </w:r>
      <w:r w:rsidR="00866C9C">
        <w:t xml:space="preserve">, </w:t>
      </w:r>
      <w:r>
        <w:t xml:space="preserve">the </w:t>
      </w:r>
      <w:r w:rsidR="00B461B7">
        <w:t xml:space="preserve">analytical </w:t>
      </w:r>
      <w:r>
        <w:t xml:space="preserve">model </w:t>
      </w:r>
      <w:r w:rsidR="00866C9C">
        <w:t xml:space="preserve">was </w:t>
      </w:r>
      <w:r w:rsidR="00B461B7">
        <w:t xml:space="preserve">also </w:t>
      </w:r>
      <w:r>
        <w:t>evaluated</w:t>
      </w:r>
      <w:r w:rsidR="00866C9C">
        <w:t xml:space="preserve"> separately for </w:t>
      </w:r>
      <w:r w:rsidR="000F6340">
        <w:t>female and male participants</w:t>
      </w:r>
      <w:r w:rsidR="00866C9C">
        <w:t xml:space="preserve">. For </w:t>
      </w:r>
      <w:r w:rsidR="00A711C0" w:rsidRPr="00CD0241">
        <w:rPr>
          <w:i/>
        </w:rPr>
        <w:t>females</w:t>
      </w:r>
      <w:r w:rsidR="00866C9C">
        <w:t>, the model fit was satisfactory</w:t>
      </w:r>
      <w:r w:rsidR="007C4388">
        <w:t xml:space="preserve"> (</w:t>
      </w:r>
      <w:r w:rsidR="007C4388" w:rsidRPr="000258F6">
        <w:t xml:space="preserve">Figure </w:t>
      </w:r>
      <w:r w:rsidR="000A4B90" w:rsidRPr="00CD0241">
        <w:t>2</w:t>
      </w:r>
      <w:r w:rsidR="007C4388">
        <w:t>)</w:t>
      </w:r>
      <w:r w:rsidR="00866C9C">
        <w:t xml:space="preserve">: </w:t>
      </w:r>
      <w:r w:rsidR="00866C9C">
        <w:sym w:font="Symbol" w:char="F063"/>
      </w:r>
      <w:r w:rsidR="00866C9C">
        <w:rPr>
          <w:vertAlign w:val="superscript"/>
        </w:rPr>
        <w:t xml:space="preserve">2 </w:t>
      </w:r>
      <w:r w:rsidR="00866C9C">
        <w:t xml:space="preserve">(104) = 347.20, </w:t>
      </w:r>
      <w:r w:rsidR="00866C9C">
        <w:rPr>
          <w:i/>
          <w:iCs/>
        </w:rPr>
        <w:t>p</w:t>
      </w:r>
      <w:r w:rsidR="00866C9C">
        <w:t xml:space="preserve"> &lt; .001, </w:t>
      </w:r>
      <w:r w:rsidR="00866C9C">
        <w:sym w:font="Symbol" w:char="F063"/>
      </w:r>
      <w:r w:rsidR="00866C9C">
        <w:rPr>
          <w:vertAlign w:val="superscript"/>
        </w:rPr>
        <w:t>2</w:t>
      </w:r>
      <w:r w:rsidR="00866C9C">
        <w:t>/</w:t>
      </w:r>
      <w:proofErr w:type="spellStart"/>
      <w:r w:rsidR="00866C9C">
        <w:t>df</w:t>
      </w:r>
      <w:proofErr w:type="spellEnd"/>
      <w:r w:rsidR="00866C9C">
        <w:t xml:space="preserve"> = 3.34, CFI = .930, NNFI = .907, RMSEA = .058. The Wald test indicated that three parameters were no</w:t>
      </w:r>
      <w:r w:rsidR="00D31266">
        <w:t>t</w:t>
      </w:r>
      <w:r w:rsidR="00866C9C">
        <w:t xml:space="preserve"> significant (F4</w:t>
      </w:r>
      <w:proofErr w:type="gramStart"/>
      <w:r w:rsidR="00866C9C">
        <w:t>,F3</w:t>
      </w:r>
      <w:proofErr w:type="gramEnd"/>
      <w:r w:rsidR="00866C9C">
        <w:t>, F5,F1, and F6,F1)</w:t>
      </w:r>
      <w:r w:rsidR="00D31266">
        <w:t>, with a reanalysis of</w:t>
      </w:r>
      <w:r w:rsidR="00866C9C">
        <w:t xml:space="preserve"> the model without </w:t>
      </w:r>
      <w:r w:rsidR="00D31266">
        <w:t xml:space="preserve">these </w:t>
      </w:r>
      <w:r w:rsidR="00866C9C">
        <w:t>paths yield</w:t>
      </w:r>
      <w:r w:rsidR="00D31266">
        <w:t>ing</w:t>
      </w:r>
      <w:r w:rsidR="00866C9C">
        <w:t xml:space="preserve"> the following results: </w:t>
      </w:r>
      <w:r w:rsidR="00866C9C">
        <w:sym w:font="Symbol" w:char="F063"/>
      </w:r>
      <w:r w:rsidR="00866C9C">
        <w:rPr>
          <w:vertAlign w:val="superscript"/>
        </w:rPr>
        <w:t xml:space="preserve">2 </w:t>
      </w:r>
      <w:r w:rsidR="00866C9C">
        <w:t xml:space="preserve">(107) = 354.16, </w:t>
      </w:r>
      <w:r w:rsidR="00866C9C">
        <w:rPr>
          <w:i/>
          <w:iCs/>
        </w:rPr>
        <w:t>p</w:t>
      </w:r>
      <w:r w:rsidR="00866C9C">
        <w:t xml:space="preserve"> &lt; .0001, </w:t>
      </w:r>
      <w:r w:rsidR="00866C9C">
        <w:sym w:font="Symbol" w:char="F063"/>
      </w:r>
      <w:r w:rsidR="00866C9C">
        <w:rPr>
          <w:vertAlign w:val="superscript"/>
        </w:rPr>
        <w:t>2</w:t>
      </w:r>
      <w:r w:rsidR="00866C9C">
        <w:t>/</w:t>
      </w:r>
      <w:proofErr w:type="spellStart"/>
      <w:r w:rsidR="00866C9C">
        <w:t>df</w:t>
      </w:r>
      <w:proofErr w:type="spellEnd"/>
      <w:r w:rsidR="00866C9C">
        <w:t xml:space="preserve"> = 3.31, CFI = .929, NNFI = .908, RMSEA = .057. </w:t>
      </w:r>
      <w:bookmarkStart w:id="9" w:name="_MON_1259587825"/>
      <w:bookmarkStart w:id="10" w:name="_MON_1259588324"/>
      <w:bookmarkStart w:id="11" w:name="_MON_1259587604"/>
      <w:bookmarkStart w:id="12" w:name="_MON_1259587629"/>
      <w:bookmarkStart w:id="13" w:name="_MON_1259587670"/>
      <w:bookmarkStart w:id="14" w:name="_MON_1259587725"/>
      <w:bookmarkStart w:id="15" w:name="_MON_1259587764"/>
      <w:bookmarkEnd w:id="9"/>
      <w:bookmarkEnd w:id="10"/>
      <w:bookmarkEnd w:id="11"/>
      <w:bookmarkEnd w:id="12"/>
      <w:bookmarkEnd w:id="13"/>
      <w:bookmarkEnd w:id="14"/>
      <w:bookmarkEnd w:id="15"/>
      <w:r w:rsidR="00866C9C">
        <w:t xml:space="preserve">For </w:t>
      </w:r>
      <w:r w:rsidR="008343E4" w:rsidRPr="00CD0241">
        <w:rPr>
          <w:i/>
        </w:rPr>
        <w:t>males</w:t>
      </w:r>
      <w:r w:rsidR="00866C9C">
        <w:t>, model fit was satisfactory</w:t>
      </w:r>
      <w:r w:rsidR="007C4388">
        <w:t xml:space="preserve"> (Figure </w:t>
      </w:r>
      <w:r w:rsidR="000A4B90">
        <w:t>3</w:t>
      </w:r>
      <w:r w:rsidR="007C4388">
        <w:t>)</w:t>
      </w:r>
      <w:r w:rsidR="00866C9C">
        <w:t xml:space="preserve">: </w:t>
      </w:r>
      <w:r w:rsidR="00866C9C">
        <w:sym w:font="Symbol" w:char="F063"/>
      </w:r>
      <w:r w:rsidR="00866C9C">
        <w:rPr>
          <w:vertAlign w:val="superscript"/>
        </w:rPr>
        <w:t xml:space="preserve">2 </w:t>
      </w:r>
      <w:r w:rsidR="00866C9C">
        <w:t xml:space="preserve">(104) = 256.43, </w:t>
      </w:r>
      <w:r w:rsidR="00866C9C">
        <w:rPr>
          <w:i/>
          <w:iCs/>
        </w:rPr>
        <w:t>p</w:t>
      </w:r>
      <w:r w:rsidR="00866C9C">
        <w:t xml:space="preserve"> &lt; .001, </w:t>
      </w:r>
      <w:r w:rsidR="00866C9C">
        <w:sym w:font="Symbol" w:char="F063"/>
      </w:r>
      <w:r w:rsidR="00866C9C">
        <w:rPr>
          <w:vertAlign w:val="superscript"/>
        </w:rPr>
        <w:t>2</w:t>
      </w:r>
      <w:r w:rsidR="00866C9C">
        <w:t>/</w:t>
      </w:r>
      <w:proofErr w:type="spellStart"/>
      <w:r w:rsidR="00866C9C">
        <w:t>df</w:t>
      </w:r>
      <w:proofErr w:type="spellEnd"/>
      <w:r w:rsidR="00866C9C">
        <w:t xml:space="preserve"> = 2.47, CFI = .942, NNFI = .923, RMSEA = .049. </w:t>
      </w:r>
      <w:r w:rsidR="00D31266">
        <w:t>As t</w:t>
      </w:r>
      <w:r w:rsidR="00866C9C">
        <w:t xml:space="preserve">he Wald test </w:t>
      </w:r>
      <w:r w:rsidR="00D31266">
        <w:t>showed</w:t>
      </w:r>
      <w:r w:rsidR="00866C9C">
        <w:t xml:space="preserve"> one parameter </w:t>
      </w:r>
      <w:r w:rsidR="00D31266">
        <w:t xml:space="preserve">to </w:t>
      </w:r>
      <w:r w:rsidR="00866C9C">
        <w:t>no</w:t>
      </w:r>
      <w:r w:rsidR="007C4388">
        <w:t>t</w:t>
      </w:r>
      <w:r w:rsidR="00D31266">
        <w:t xml:space="preserve"> be</w:t>
      </w:r>
      <w:r w:rsidR="00866C9C">
        <w:t xml:space="preserve"> significant (F8</w:t>
      </w:r>
      <w:proofErr w:type="gramStart"/>
      <w:r w:rsidR="00866C9C">
        <w:t>,F4</w:t>
      </w:r>
      <w:proofErr w:type="gramEnd"/>
      <w:r w:rsidR="00866C9C">
        <w:t>)</w:t>
      </w:r>
      <w:r w:rsidR="00D31266">
        <w:t xml:space="preserve">, the model was reassessed </w:t>
      </w:r>
      <w:r w:rsidR="00866C9C">
        <w:t xml:space="preserve">without </w:t>
      </w:r>
      <w:r w:rsidR="00AD7C10">
        <w:t>it</w:t>
      </w:r>
      <w:r w:rsidR="00866C9C">
        <w:t xml:space="preserve"> yield</w:t>
      </w:r>
      <w:r w:rsidR="00D31266">
        <w:t>ing</w:t>
      </w:r>
      <w:r w:rsidR="00866C9C">
        <w:t xml:space="preserve"> the following results: </w:t>
      </w:r>
      <w:r w:rsidR="00866C9C">
        <w:sym w:font="Symbol" w:char="F063"/>
      </w:r>
      <w:r w:rsidR="00866C9C">
        <w:rPr>
          <w:vertAlign w:val="superscript"/>
        </w:rPr>
        <w:t xml:space="preserve">2 </w:t>
      </w:r>
      <w:r w:rsidR="00866C9C">
        <w:t xml:space="preserve">(105) = 256.62, </w:t>
      </w:r>
      <w:r w:rsidR="00866C9C">
        <w:rPr>
          <w:i/>
          <w:iCs/>
        </w:rPr>
        <w:t>p</w:t>
      </w:r>
      <w:r w:rsidR="00866C9C">
        <w:t xml:space="preserve"> &lt; .001, </w:t>
      </w:r>
      <w:r w:rsidR="00866C9C">
        <w:sym w:font="Symbol" w:char="F063"/>
      </w:r>
      <w:r w:rsidR="00866C9C">
        <w:rPr>
          <w:vertAlign w:val="superscript"/>
        </w:rPr>
        <w:t>2</w:t>
      </w:r>
      <w:r w:rsidR="00866C9C">
        <w:t>/</w:t>
      </w:r>
      <w:proofErr w:type="spellStart"/>
      <w:r w:rsidR="00866C9C">
        <w:t>df</w:t>
      </w:r>
      <w:proofErr w:type="spellEnd"/>
      <w:r w:rsidR="00866C9C">
        <w:t xml:space="preserve"> = 2.44, CFI = .942, NNFI = .924, RMSEA = .049. </w:t>
      </w:r>
    </w:p>
    <w:p w14:paraId="760DB8EB" w14:textId="000C8AC5" w:rsidR="00866C9C" w:rsidRDefault="007C4388" w:rsidP="00AD7C10">
      <w:pPr>
        <w:ind w:firstLine="720"/>
        <w:contextualSpacing/>
      </w:pPr>
      <w:r w:rsidRPr="00CD0241">
        <w:t>Concern</w:t>
      </w:r>
      <w:r>
        <w:t>i</w:t>
      </w:r>
      <w:r w:rsidRPr="00CD0241">
        <w:t>ng the differences between the best</w:t>
      </w:r>
      <w:r w:rsidR="001B6F0D">
        <w:t>-</w:t>
      </w:r>
      <w:r w:rsidRPr="00CD0241">
        <w:t xml:space="preserve">fitting models for </w:t>
      </w:r>
      <w:r w:rsidR="00A711C0">
        <w:t>female</w:t>
      </w:r>
      <w:r w:rsidRPr="00CD0241">
        <w:t xml:space="preserve"> vs. </w:t>
      </w:r>
      <w:r w:rsidR="008343E4">
        <w:t>male</w:t>
      </w:r>
      <w:r w:rsidR="00100AE8">
        <w:t xml:space="preserve"> students</w:t>
      </w:r>
      <w:r w:rsidRPr="00CD0241">
        <w:t>,</w:t>
      </w:r>
      <w:r w:rsidR="00866C9C">
        <w:t xml:space="preserve"> perceptions of autonomy</w:t>
      </w:r>
      <w:r w:rsidR="00100AE8">
        <w:t xml:space="preserve"> </w:t>
      </w:r>
      <w:r w:rsidR="00866C9C">
        <w:t xml:space="preserve">support were unrelated to affect </w:t>
      </w:r>
      <w:r w:rsidR="00100AE8">
        <w:t xml:space="preserve">for females </w:t>
      </w:r>
      <w:r w:rsidR="00866C9C">
        <w:t xml:space="preserve">(β = .09 for positive affect and β = </w:t>
      </w:r>
      <w:r w:rsidR="00AA113A">
        <w:t>-</w:t>
      </w:r>
      <w:r w:rsidR="00866C9C">
        <w:t xml:space="preserve">.10 for negative affect, </w:t>
      </w:r>
      <w:r w:rsidR="00866C9C">
        <w:rPr>
          <w:i/>
          <w:iCs/>
        </w:rPr>
        <w:t>p</w:t>
      </w:r>
      <w:r w:rsidR="00866C9C">
        <w:t xml:space="preserve"> &gt; .05), </w:t>
      </w:r>
      <w:r w:rsidR="00100AE8">
        <w:t>but for</w:t>
      </w:r>
      <w:r w:rsidR="008343E4">
        <w:t xml:space="preserve"> males </w:t>
      </w:r>
      <w:r w:rsidR="00100AE8">
        <w:t>were found to predict more</w:t>
      </w:r>
      <w:r w:rsidR="00866C9C">
        <w:t xml:space="preserve"> positive affect (β = .24, </w:t>
      </w:r>
      <w:r w:rsidR="00866C9C">
        <w:rPr>
          <w:i/>
          <w:iCs/>
        </w:rPr>
        <w:t>p</w:t>
      </w:r>
      <w:r w:rsidR="00866C9C">
        <w:t xml:space="preserve"> &lt; .05) and lower negative affect (β = </w:t>
      </w:r>
      <w:r w:rsidR="00AA113A">
        <w:t>-</w:t>
      </w:r>
      <w:r w:rsidR="00866C9C">
        <w:t xml:space="preserve">.18, </w:t>
      </w:r>
      <w:r w:rsidR="00866C9C">
        <w:rPr>
          <w:i/>
          <w:iCs/>
        </w:rPr>
        <w:t>p</w:t>
      </w:r>
      <w:r w:rsidR="00866C9C">
        <w:t xml:space="preserve"> &lt; .05). </w:t>
      </w:r>
      <w:r w:rsidR="00100AE8">
        <w:t>F</w:t>
      </w:r>
      <w:r w:rsidR="00866C9C">
        <w:t xml:space="preserve">or </w:t>
      </w:r>
      <w:r w:rsidR="00A711C0">
        <w:t>females</w:t>
      </w:r>
      <w:r w:rsidR="00866C9C">
        <w:t xml:space="preserve">, performance goals positively </w:t>
      </w:r>
      <w:r w:rsidR="00100AE8">
        <w:t xml:space="preserve">predicted </w:t>
      </w:r>
      <w:r w:rsidR="00866C9C">
        <w:t xml:space="preserve">achievement (β = .16, </w:t>
      </w:r>
      <w:r w:rsidR="00866C9C">
        <w:rPr>
          <w:i/>
          <w:iCs/>
        </w:rPr>
        <w:t>p</w:t>
      </w:r>
      <w:r w:rsidR="00866C9C">
        <w:t xml:space="preserve"> &lt; .05) whereas for </w:t>
      </w:r>
      <w:r w:rsidR="008343E4">
        <w:t>males</w:t>
      </w:r>
      <w:r w:rsidR="00866C9C">
        <w:t xml:space="preserve">, this path was not significant (β = .10, </w:t>
      </w:r>
      <w:r w:rsidR="00866C9C">
        <w:rPr>
          <w:i/>
          <w:iCs/>
        </w:rPr>
        <w:t>p</w:t>
      </w:r>
      <w:r w:rsidR="00866C9C">
        <w:t xml:space="preserve"> &gt; .05). </w:t>
      </w:r>
      <w:r w:rsidR="00852C29">
        <w:t>However,</w:t>
      </w:r>
      <w:r w:rsidR="00866C9C">
        <w:t xml:space="preserve"> a test for invariance </w:t>
      </w:r>
      <w:r w:rsidR="00852C29">
        <w:t xml:space="preserve">(Byrne, 2001) involving </w:t>
      </w:r>
      <w:r w:rsidR="00100AE8">
        <w:t>a</w:t>
      </w:r>
      <w:r w:rsidR="00866C9C">
        <w:t xml:space="preserve"> series of equality constraints </w:t>
      </w:r>
      <w:r w:rsidR="00852C29">
        <w:t>to evaluate</w:t>
      </w:r>
      <w:r w:rsidR="00100AE8">
        <w:t xml:space="preserve"> equivalent</w:t>
      </w:r>
      <w:r w:rsidR="00866C9C">
        <w:t xml:space="preserve"> strength</w:t>
      </w:r>
      <w:r w:rsidR="00100AE8">
        <w:t>s</w:t>
      </w:r>
      <w:r w:rsidR="00866C9C">
        <w:t xml:space="preserve"> of the </w:t>
      </w:r>
      <w:r w:rsidR="00852C29">
        <w:t xml:space="preserve">structural </w:t>
      </w:r>
      <w:r w:rsidR="00866C9C">
        <w:t xml:space="preserve">relationships </w:t>
      </w:r>
      <w:r w:rsidR="00852C29">
        <w:t>for males vs. females</w:t>
      </w:r>
      <w:r w:rsidR="00866C9C">
        <w:t xml:space="preserve"> </w:t>
      </w:r>
      <w:r w:rsidR="00852C29">
        <w:t>showed only the effect of self</w:t>
      </w:r>
      <w:r w:rsidR="00AA113A">
        <w:t>-</w:t>
      </w:r>
      <w:r w:rsidR="00852C29">
        <w:t xml:space="preserve">efficacy on negative affect to be </w:t>
      </w:r>
      <w:r w:rsidR="000652BD">
        <w:t xml:space="preserve">significantly </w:t>
      </w:r>
      <w:r w:rsidR="00852C29">
        <w:t>moderated by gender</w:t>
      </w:r>
      <w:r w:rsidR="00866C9C">
        <w:t xml:space="preserve">. As indicated by a CFI of .934, NNFI of .917, </w:t>
      </w:r>
      <w:r w:rsidR="00866C9C">
        <w:sym w:font="Symbol" w:char="F063"/>
      </w:r>
      <w:r w:rsidR="00866C9C">
        <w:rPr>
          <w:vertAlign w:val="superscript"/>
        </w:rPr>
        <w:t xml:space="preserve">2 </w:t>
      </w:r>
      <w:r w:rsidR="00866C9C">
        <w:t xml:space="preserve">(219) = 588.09, </w:t>
      </w:r>
      <w:r w:rsidR="00866C9C">
        <w:rPr>
          <w:i/>
          <w:iCs/>
        </w:rPr>
        <w:t>p</w:t>
      </w:r>
      <w:r w:rsidR="00866C9C">
        <w:t xml:space="preserve"> &lt; .0001, and </w:t>
      </w:r>
      <w:r w:rsidR="00866C9C">
        <w:sym w:font="Symbol" w:char="F063"/>
      </w:r>
      <w:r w:rsidR="00866C9C">
        <w:rPr>
          <w:vertAlign w:val="superscript"/>
        </w:rPr>
        <w:t>2</w:t>
      </w:r>
      <w:r w:rsidR="00866C9C">
        <w:t>/</w:t>
      </w:r>
      <w:proofErr w:type="spellStart"/>
      <w:r w:rsidR="00866C9C">
        <w:t>df</w:t>
      </w:r>
      <w:proofErr w:type="spellEnd"/>
      <w:r w:rsidR="00866C9C">
        <w:t xml:space="preserve"> = 2.68, </w:t>
      </w:r>
      <w:r w:rsidR="00621673">
        <w:t>and a significant c</w:t>
      </w:r>
      <w:r w:rsidR="00866C9C">
        <w:t xml:space="preserve">onstraint </w:t>
      </w:r>
      <w:r w:rsidR="00852C29">
        <w:t>between self</w:t>
      </w:r>
      <w:r w:rsidR="00AA113A">
        <w:t>-</w:t>
      </w:r>
      <w:r w:rsidR="00852C29">
        <w:t xml:space="preserve">efficacy and negative affect </w:t>
      </w:r>
      <w:r w:rsidR="00866C9C">
        <w:t>(F6</w:t>
      </w:r>
      <w:proofErr w:type="gramStart"/>
      <w:r w:rsidR="00866C9C">
        <w:t>,F2</w:t>
      </w:r>
      <w:proofErr w:type="gramEnd"/>
      <w:r w:rsidR="00866C9C">
        <w:t>)</w:t>
      </w:r>
      <w:r w:rsidR="00621673">
        <w:t>,</w:t>
      </w:r>
      <w:r w:rsidR="00866C9C">
        <w:t xml:space="preserve"> </w:t>
      </w:r>
      <w:r w:rsidR="00852C29">
        <w:t xml:space="preserve">this path </w:t>
      </w:r>
      <w:r w:rsidR="00621673">
        <w:t>was found to be</w:t>
      </w:r>
      <w:r w:rsidR="00866C9C">
        <w:t xml:space="preserve"> significantly stronger for </w:t>
      </w:r>
      <w:r w:rsidR="00A711C0">
        <w:t>females</w:t>
      </w:r>
      <w:r w:rsidR="00866C9C">
        <w:t xml:space="preserve"> (β = </w:t>
      </w:r>
      <w:r w:rsidR="00AA113A">
        <w:t>-</w:t>
      </w:r>
      <w:r w:rsidR="00866C9C">
        <w:t>.76) than for</w:t>
      </w:r>
      <w:r w:rsidR="008343E4">
        <w:t xml:space="preserve"> males </w:t>
      </w:r>
      <w:r w:rsidR="00866C9C">
        <w:t xml:space="preserve">(β = </w:t>
      </w:r>
      <w:r w:rsidR="00AA113A">
        <w:t>-</w:t>
      </w:r>
      <w:r w:rsidR="00866C9C">
        <w:t>.56).</w:t>
      </w:r>
    </w:p>
    <w:p w14:paraId="1BD1082F" w14:textId="77777777" w:rsidR="00AD7C10" w:rsidRDefault="00AD7C10" w:rsidP="00AD7C10">
      <w:pPr>
        <w:ind w:firstLine="720"/>
        <w:contextualSpacing/>
      </w:pPr>
    </w:p>
    <w:p w14:paraId="04F2D110" w14:textId="77777777" w:rsidR="0038249F" w:rsidRDefault="0038249F" w:rsidP="00AD7C10">
      <w:pPr>
        <w:pStyle w:val="Header"/>
        <w:tabs>
          <w:tab w:val="clear" w:pos="4320"/>
          <w:tab w:val="clear" w:pos="8640"/>
        </w:tabs>
        <w:contextualSpacing/>
      </w:pPr>
      <w:r>
        <w:rPr>
          <w:noProof/>
          <w:lang w:eastAsia="en-CA"/>
        </w:rPr>
        <w:drawing>
          <wp:inline distT="0" distB="0" distL="0" distR="0" wp14:anchorId="6B4C8DE9" wp14:editId="529B41A2">
            <wp:extent cx="5971032" cy="35204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1032" cy="3520440"/>
                    </a:xfrm>
                    <a:prstGeom prst="rect">
                      <a:avLst/>
                    </a:prstGeom>
                    <a:noFill/>
                    <a:ln>
                      <a:noFill/>
                    </a:ln>
                  </pic:spPr>
                </pic:pic>
              </a:graphicData>
            </a:graphic>
          </wp:inline>
        </w:drawing>
      </w:r>
    </w:p>
    <w:p w14:paraId="40AD0BDD" w14:textId="77777777" w:rsidR="00AD7C10" w:rsidRDefault="00AD7C10" w:rsidP="00AD7C10">
      <w:pPr>
        <w:pStyle w:val="Header"/>
        <w:tabs>
          <w:tab w:val="clear" w:pos="4320"/>
          <w:tab w:val="clear" w:pos="8640"/>
        </w:tabs>
        <w:contextualSpacing/>
        <w:rPr>
          <w:i/>
          <w:iCs/>
        </w:rPr>
      </w:pPr>
    </w:p>
    <w:p w14:paraId="724B0FBA" w14:textId="77777777" w:rsidR="0038249F" w:rsidRDefault="0038249F" w:rsidP="00AD7C10">
      <w:pPr>
        <w:pStyle w:val="Header"/>
        <w:tabs>
          <w:tab w:val="clear" w:pos="4320"/>
          <w:tab w:val="clear" w:pos="8640"/>
        </w:tabs>
        <w:contextualSpacing/>
      </w:pPr>
      <w:proofErr w:type="gramStart"/>
      <w:r w:rsidRPr="00F53A6C">
        <w:rPr>
          <w:i/>
          <w:iCs/>
        </w:rPr>
        <w:t>Figure 2</w:t>
      </w:r>
      <w:r w:rsidRPr="00F53A6C">
        <w:t>.</w:t>
      </w:r>
      <w:proofErr w:type="gramEnd"/>
      <w:r>
        <w:t xml:space="preserve"> Structural equation model: Females.</w:t>
      </w:r>
    </w:p>
    <w:p w14:paraId="0A6110F9" w14:textId="77777777" w:rsidR="00AD7C10" w:rsidRDefault="00AD7C10" w:rsidP="00AD7C10">
      <w:pPr>
        <w:pStyle w:val="Header"/>
        <w:tabs>
          <w:tab w:val="clear" w:pos="4320"/>
          <w:tab w:val="clear" w:pos="8640"/>
        </w:tabs>
        <w:contextualSpacing/>
      </w:pPr>
    </w:p>
    <w:p w14:paraId="27225611" w14:textId="48D4D761" w:rsidR="0038249F" w:rsidRDefault="0038249F" w:rsidP="00AD7C10">
      <w:pPr>
        <w:contextualSpacing/>
      </w:pPr>
      <w:r w:rsidRPr="00CD0241">
        <w:rPr>
          <w:noProof/>
          <w:sz w:val="20"/>
          <w:lang w:val="en-CA" w:eastAsia="en-CA"/>
        </w:rPr>
        <w:drawing>
          <wp:anchor distT="0" distB="0" distL="114300" distR="114300" simplePos="0" relativeHeight="251665408" behindDoc="0" locked="1" layoutInCell="1" allowOverlap="1" wp14:anchorId="09F04259" wp14:editId="3FE46255">
            <wp:simplePos x="0" y="0"/>
            <wp:positionH relativeFrom="column">
              <wp:posOffset>33454</wp:posOffset>
            </wp:positionH>
            <wp:positionV relativeFrom="paragraph">
              <wp:posOffset>-219865</wp:posOffset>
            </wp:positionV>
            <wp:extent cx="5952490" cy="3502025"/>
            <wp:effectExtent l="0" t="0" r="0" b="317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2490" cy="350202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F53A6C">
        <w:rPr>
          <w:i/>
          <w:iCs/>
        </w:rPr>
        <w:t>Figure 3</w:t>
      </w:r>
      <w:r w:rsidRPr="00F53A6C">
        <w:t>.</w:t>
      </w:r>
      <w:proofErr w:type="gramEnd"/>
      <w:r>
        <w:t xml:space="preserve"> Structural equation model: Males.</w:t>
      </w:r>
    </w:p>
    <w:p w14:paraId="6F04F70E" w14:textId="77777777" w:rsidR="008B5FEA" w:rsidRPr="008B5FEA" w:rsidRDefault="008B5FEA" w:rsidP="00AD7C10">
      <w:pPr>
        <w:contextualSpacing/>
      </w:pPr>
    </w:p>
    <w:p w14:paraId="3F86615A" w14:textId="77777777" w:rsidR="00192B01" w:rsidRPr="00CD0241" w:rsidRDefault="00192B01" w:rsidP="00AD7C10">
      <w:pPr>
        <w:pStyle w:val="Heading2"/>
        <w:spacing w:before="0"/>
        <w:contextualSpacing/>
        <w:jc w:val="center"/>
        <w:rPr>
          <w:rFonts w:ascii="Times New Roman" w:hAnsi="Times New Roman" w:cs="Times New Roman"/>
          <w:bCs w:val="0"/>
          <w:iCs/>
          <w:color w:val="auto"/>
          <w:sz w:val="24"/>
          <w:szCs w:val="24"/>
        </w:rPr>
      </w:pPr>
      <w:r w:rsidRPr="00CD0241">
        <w:rPr>
          <w:rFonts w:ascii="Times New Roman" w:hAnsi="Times New Roman" w:cs="Times New Roman"/>
          <w:bCs w:val="0"/>
          <w:iCs/>
          <w:color w:val="auto"/>
          <w:sz w:val="24"/>
          <w:szCs w:val="24"/>
        </w:rPr>
        <w:t>Discussion</w:t>
      </w:r>
    </w:p>
    <w:p w14:paraId="21519449" w14:textId="77777777" w:rsidR="00192B01" w:rsidRDefault="00192B01" w:rsidP="00AD7C10">
      <w:pPr>
        <w:contextualSpacing/>
      </w:pPr>
    </w:p>
    <w:p w14:paraId="34A7606C" w14:textId="3B5DD723" w:rsidR="00704C53" w:rsidRDefault="00192B01" w:rsidP="00AD7C10">
      <w:pPr>
        <w:pStyle w:val="BodyTextIndent"/>
        <w:spacing w:line="240" w:lineRule="auto"/>
        <w:contextualSpacing/>
      </w:pPr>
      <w:r>
        <w:rPr>
          <w:lang w:val="en-US"/>
        </w:rPr>
        <w:t>The current study examined whether students’ perceptions of autonomy</w:t>
      </w:r>
      <w:r w:rsidR="0075710C">
        <w:rPr>
          <w:lang w:val="en-US"/>
        </w:rPr>
        <w:t xml:space="preserve"> </w:t>
      </w:r>
      <w:r>
        <w:rPr>
          <w:lang w:val="en-US"/>
        </w:rPr>
        <w:t>support, self</w:t>
      </w:r>
      <w:r w:rsidR="00AA113A">
        <w:rPr>
          <w:lang w:val="en-US"/>
        </w:rPr>
        <w:t>-</w:t>
      </w:r>
      <w:r>
        <w:rPr>
          <w:lang w:val="en-US"/>
        </w:rPr>
        <w:t>efficacy, and achievement goals predicted their intrinsic motivation to attend CEGEP and their affect in mathematics and science classes, and whether their motivation and affect predicted their achievement and persistence in science</w:t>
      </w:r>
      <w:r w:rsidRPr="006A0EA4">
        <w:t xml:space="preserve">. </w:t>
      </w:r>
      <w:r w:rsidR="00630B09">
        <w:t>Concerning the overall</w:t>
      </w:r>
      <w:r>
        <w:t xml:space="preserve"> structural model</w:t>
      </w:r>
      <w:r w:rsidR="00630B09">
        <w:t>, our hy</w:t>
      </w:r>
      <w:r w:rsidR="001921A7">
        <w:t xml:space="preserve">potheses were generally supported and consistent with </w:t>
      </w:r>
      <w:r w:rsidR="001921A7" w:rsidRPr="00CD0241">
        <w:rPr>
          <w:i/>
        </w:rPr>
        <w:t>socia</w:t>
      </w:r>
      <w:r w:rsidR="00C944F0" w:rsidRPr="00CD0241">
        <w:rPr>
          <w:i/>
        </w:rPr>
        <w:t>l</w:t>
      </w:r>
      <w:r w:rsidR="009D0F58" w:rsidRPr="00CD0241">
        <w:rPr>
          <w:i/>
        </w:rPr>
        <w:t xml:space="preserve"> learning</w:t>
      </w:r>
      <w:r w:rsidR="001921A7" w:rsidRPr="00CD0241">
        <w:rPr>
          <w:i/>
        </w:rPr>
        <w:t xml:space="preserve"> theory</w:t>
      </w:r>
      <w:r w:rsidR="001921A7">
        <w:t xml:space="preserve"> (Bandura, 1986) </w:t>
      </w:r>
      <w:r w:rsidR="00630B09">
        <w:t xml:space="preserve">with </w:t>
      </w:r>
      <w:r w:rsidR="001921A7">
        <w:t xml:space="preserve">CEGEP </w:t>
      </w:r>
      <w:r w:rsidR="00630B09">
        <w:t>s</w:t>
      </w:r>
      <w:r>
        <w:t xml:space="preserve">tudents who felt autonomous </w:t>
      </w:r>
      <w:r w:rsidR="00630B09">
        <w:t xml:space="preserve">or competent having </w:t>
      </w:r>
      <w:r>
        <w:t>more positive affect (1b</w:t>
      </w:r>
      <w:r w:rsidR="00630B09">
        <w:t>, 2b</w:t>
      </w:r>
      <w:r>
        <w:t>) and less negative affect (1c</w:t>
      </w:r>
      <w:r w:rsidR="00630B09">
        <w:t>, 2c</w:t>
      </w:r>
      <w:r>
        <w:t>)</w:t>
      </w:r>
      <w:r w:rsidR="00630B09">
        <w:t xml:space="preserve">, </w:t>
      </w:r>
      <w:r w:rsidR="009D0F58">
        <w:t>and</w:t>
      </w:r>
      <w:r w:rsidR="00630B09">
        <w:t xml:space="preserve"> </w:t>
      </w:r>
      <w:r>
        <w:t xml:space="preserve">students who felt </w:t>
      </w:r>
      <w:r w:rsidR="00630B09">
        <w:t xml:space="preserve">more </w:t>
      </w:r>
      <w:r>
        <w:t xml:space="preserve">competent </w:t>
      </w:r>
      <w:r w:rsidR="00630B09">
        <w:t>also</w:t>
      </w:r>
      <w:r>
        <w:t xml:space="preserve"> receiv</w:t>
      </w:r>
      <w:r w:rsidR="00630B09">
        <w:t>ing</w:t>
      </w:r>
      <w:r>
        <w:t xml:space="preserve"> higher grades (2d)</w:t>
      </w:r>
      <w:r w:rsidR="006A0EA4" w:rsidRPr="00CD0241">
        <w:t>.</w:t>
      </w:r>
      <w:r w:rsidR="006A0EA4">
        <w:t xml:space="preserve"> </w:t>
      </w:r>
      <w:r w:rsidR="00704C53">
        <w:t xml:space="preserve">Consistent with </w:t>
      </w:r>
      <w:r w:rsidR="009D0F58" w:rsidRPr="00CD0241">
        <w:rPr>
          <w:i/>
        </w:rPr>
        <w:t>self-determination</w:t>
      </w:r>
      <w:r w:rsidR="00704C53" w:rsidRPr="00CD0241">
        <w:rPr>
          <w:i/>
        </w:rPr>
        <w:t xml:space="preserve"> theory</w:t>
      </w:r>
      <w:r w:rsidR="00704C53">
        <w:t>, p</w:t>
      </w:r>
      <w:r>
        <w:t>ositive affect and achievement</w:t>
      </w:r>
      <w:r w:rsidR="00E92B70">
        <w:t>, in turn,</w:t>
      </w:r>
      <w:r>
        <w:t xml:space="preserve"> contributed to greater persistence (4a</w:t>
      </w:r>
      <w:r w:rsidR="00E92B70">
        <w:t>,</w:t>
      </w:r>
      <w:r>
        <w:t xml:space="preserve"> </w:t>
      </w:r>
      <w:r w:rsidR="00EA149C">
        <w:t>5</w:t>
      </w:r>
      <w:r>
        <w:t>)</w:t>
      </w:r>
      <w:r w:rsidR="00E92B70">
        <w:t>, with</w:t>
      </w:r>
      <w:r w:rsidR="00226A38">
        <w:t xml:space="preserve"> </w:t>
      </w:r>
      <w:r>
        <w:t>students who felt competent also tend</w:t>
      </w:r>
      <w:r w:rsidR="00E92B70">
        <w:t>ing</w:t>
      </w:r>
      <w:r>
        <w:t xml:space="preserve"> to be intrinsically motivated (2a).</w:t>
      </w:r>
      <w:r w:rsidR="00E92B70">
        <w:t xml:space="preserve"> However, </w:t>
      </w:r>
      <w:r w:rsidR="0073738F">
        <w:t>our results</w:t>
      </w:r>
      <w:r>
        <w:t xml:space="preserve"> differ</w:t>
      </w:r>
      <w:r w:rsidR="0073738F">
        <w:t>ed</w:t>
      </w:r>
      <w:r>
        <w:t xml:space="preserve"> from previous research </w:t>
      </w:r>
      <w:r w:rsidR="009F51C7">
        <w:t>in that</w:t>
      </w:r>
      <w:r>
        <w:t xml:space="preserve"> perceptions of autonomy</w:t>
      </w:r>
      <w:r w:rsidR="0075710C">
        <w:t xml:space="preserve"> </w:t>
      </w:r>
      <w:r>
        <w:t>support were unrelated to intrinsic motivation (1a)</w:t>
      </w:r>
      <w:r w:rsidR="00CF2B87">
        <w:t xml:space="preserve">, </w:t>
      </w:r>
      <w:r w:rsidR="00B029AF">
        <w:t>likely</w:t>
      </w:r>
      <w:r w:rsidR="00CF2B87">
        <w:t xml:space="preserve"> due to the notably strong effects of an overlapping construct, </w:t>
      </w:r>
      <w:r w:rsidR="00014882">
        <w:t>mastery orientation</w:t>
      </w:r>
      <w:r w:rsidR="00CF2B87">
        <w:t xml:space="preserve"> (</w:t>
      </w:r>
      <w:r w:rsidR="0023581F">
        <w:rPr>
          <w:i/>
        </w:rPr>
        <w:t>r</w:t>
      </w:r>
      <w:r w:rsidR="00CF2B87">
        <w:t xml:space="preserve"> = .37</w:t>
      </w:r>
      <w:r w:rsidR="00CA6764">
        <w:t xml:space="preserve">, </w:t>
      </w:r>
      <w:r w:rsidR="00CA6764">
        <w:rPr>
          <w:i/>
        </w:rPr>
        <w:t xml:space="preserve">p </w:t>
      </w:r>
      <w:r w:rsidR="00CA6764">
        <w:t>&lt; .01</w:t>
      </w:r>
      <w:r w:rsidR="00CF2B87">
        <w:t>),</w:t>
      </w:r>
      <w:r w:rsidR="00014882">
        <w:t xml:space="preserve"> </w:t>
      </w:r>
      <w:r w:rsidR="00CF2B87">
        <w:t>on</w:t>
      </w:r>
      <w:r w:rsidR="00014882">
        <w:t xml:space="preserve"> intrinsic motivation </w:t>
      </w:r>
      <w:r w:rsidR="00CF2B87">
        <w:t xml:space="preserve">in </w:t>
      </w:r>
      <w:r w:rsidR="006E20B3">
        <w:t>the</w:t>
      </w:r>
      <w:r w:rsidR="00CF2B87">
        <w:t xml:space="preserve"> overall SEM analysis</w:t>
      </w:r>
      <w:r w:rsidR="00014882">
        <w:t xml:space="preserve">. Additionally, students’ </w:t>
      </w:r>
      <w:r>
        <w:t xml:space="preserve">intrinsic motivation was </w:t>
      </w:r>
      <w:r w:rsidR="00B029AF">
        <w:t xml:space="preserve">not </w:t>
      </w:r>
      <w:r w:rsidR="00A1306C">
        <w:t xml:space="preserve">significantly </w:t>
      </w:r>
      <w:r>
        <w:t>related to persistence (</w:t>
      </w:r>
      <w:r w:rsidR="00EA149C">
        <w:t>4b</w:t>
      </w:r>
      <w:r>
        <w:t>)</w:t>
      </w:r>
      <w:r w:rsidR="00C70B08">
        <w:t xml:space="preserve">, </w:t>
      </w:r>
      <w:r w:rsidR="001A7896">
        <w:t>perhaps resulting</w:t>
      </w:r>
      <w:r w:rsidR="00B029AF">
        <w:t xml:space="preserve"> from</w:t>
      </w:r>
      <w:r w:rsidR="00C70B08">
        <w:t xml:space="preserve"> t</w:t>
      </w:r>
      <w:r w:rsidR="00014882">
        <w:t>he</w:t>
      </w:r>
      <w:r w:rsidR="00B029AF">
        <w:t xml:space="preserve"> self-report motivation</w:t>
      </w:r>
      <w:r w:rsidR="00014882">
        <w:t xml:space="preserve"> items not </w:t>
      </w:r>
      <w:r w:rsidR="00B029AF">
        <w:t xml:space="preserve">being </w:t>
      </w:r>
      <w:r w:rsidR="00014882">
        <w:t>specific to science</w:t>
      </w:r>
      <w:r w:rsidR="00B029AF">
        <w:t xml:space="preserve"> topics </w:t>
      </w:r>
      <w:r w:rsidR="001A7896">
        <w:t>(</w:t>
      </w:r>
      <w:r w:rsidR="005F4B11">
        <w:t>cf., domain</w:t>
      </w:r>
      <w:r w:rsidR="003B1005">
        <w:t xml:space="preserve">-specific measures in Goetz et al., </w:t>
      </w:r>
      <w:r w:rsidR="00B972C8">
        <w:t>2013</w:t>
      </w:r>
      <w:r w:rsidR="00EF30FB">
        <w:t xml:space="preserve">; </w:t>
      </w:r>
      <w:proofErr w:type="spellStart"/>
      <w:r w:rsidR="00EF30FB">
        <w:t>Pajares</w:t>
      </w:r>
      <w:proofErr w:type="spellEnd"/>
      <w:r w:rsidR="00EF30FB">
        <w:t xml:space="preserve"> &amp; Miller, 1995).</w:t>
      </w:r>
    </w:p>
    <w:p w14:paraId="71835409" w14:textId="2751F478" w:rsidR="00192B01" w:rsidRDefault="004813E6" w:rsidP="00AD7C10">
      <w:pPr>
        <w:contextualSpacing/>
      </w:pPr>
      <w:r>
        <w:tab/>
      </w:r>
      <w:r w:rsidR="00192B01">
        <w:t xml:space="preserve">With regard to </w:t>
      </w:r>
      <w:r w:rsidR="005C6858">
        <w:t>observed relations consistent</w:t>
      </w:r>
      <w:r w:rsidR="00192B01">
        <w:t xml:space="preserve"> </w:t>
      </w:r>
      <w:r w:rsidR="005C6858">
        <w:t>with</w:t>
      </w:r>
      <w:r w:rsidR="00192B01">
        <w:t xml:space="preserve"> </w:t>
      </w:r>
      <w:r w:rsidR="005C6858" w:rsidRPr="00CD0241">
        <w:rPr>
          <w:i/>
        </w:rPr>
        <w:t>achievement</w:t>
      </w:r>
      <w:r w:rsidR="005C6858">
        <w:t xml:space="preserve"> </w:t>
      </w:r>
      <w:r w:rsidR="00192B01" w:rsidRPr="00CD0241">
        <w:rPr>
          <w:i/>
        </w:rPr>
        <w:t>goal</w:t>
      </w:r>
      <w:r w:rsidR="005C6858">
        <w:rPr>
          <w:i/>
        </w:rPr>
        <w:t xml:space="preserve"> </w:t>
      </w:r>
      <w:r w:rsidR="00192B01" w:rsidRPr="00CD0241">
        <w:rPr>
          <w:i/>
        </w:rPr>
        <w:t>theory</w:t>
      </w:r>
      <w:r w:rsidR="00192B01">
        <w:t xml:space="preserve">, all hypotheses were confirmed. A mastery orientation </w:t>
      </w:r>
      <w:r w:rsidR="00953EF2">
        <w:t xml:space="preserve">was beneficial for </w:t>
      </w:r>
      <w:r w:rsidR="00192B01">
        <w:t xml:space="preserve">intrinsic motivation (3a) and positive affect (3b), </w:t>
      </w:r>
      <w:r w:rsidR="00E54623">
        <w:t xml:space="preserve">whereas </w:t>
      </w:r>
      <w:r w:rsidR="00192B01">
        <w:t xml:space="preserve">a performance orientation </w:t>
      </w:r>
      <w:r w:rsidR="00953EF2">
        <w:t>led</w:t>
      </w:r>
      <w:r w:rsidR="00192B01">
        <w:t xml:space="preserve"> to </w:t>
      </w:r>
      <w:r w:rsidR="00953EF2">
        <w:t xml:space="preserve">poorer </w:t>
      </w:r>
      <w:r w:rsidR="00192B01">
        <w:t xml:space="preserve">negative affect (3c) </w:t>
      </w:r>
      <w:r w:rsidR="00E54623">
        <w:t>despite higher</w:t>
      </w:r>
      <w:r w:rsidR="00192B01">
        <w:t xml:space="preserve"> achievement (3d). </w:t>
      </w:r>
      <w:r w:rsidR="00953EF2">
        <w:t>As such, m</w:t>
      </w:r>
      <w:r w:rsidR="00192B01">
        <w:t>astery</w:t>
      </w:r>
      <w:r w:rsidR="00953EF2">
        <w:t>-</w:t>
      </w:r>
      <w:r w:rsidR="00192B01">
        <w:t>oriented</w:t>
      </w:r>
      <w:r w:rsidR="00E54623">
        <w:t xml:space="preserve"> </w:t>
      </w:r>
      <w:r w:rsidR="00192B01">
        <w:t>students report</w:t>
      </w:r>
      <w:r w:rsidR="00953EF2">
        <w:t>ed</w:t>
      </w:r>
      <w:r w:rsidR="00192B01">
        <w:t xml:space="preserve"> feeling </w:t>
      </w:r>
      <w:r w:rsidR="00953EF2">
        <w:t xml:space="preserve">more </w:t>
      </w:r>
      <w:r w:rsidR="00192B01">
        <w:t xml:space="preserve">positive in the science classroom </w:t>
      </w:r>
      <w:r w:rsidR="00E54623">
        <w:t xml:space="preserve">and were more motivated by </w:t>
      </w:r>
      <w:r w:rsidR="00192B01">
        <w:t xml:space="preserve">the opportunity </w:t>
      </w:r>
      <w:r w:rsidR="00E54623">
        <w:t xml:space="preserve">to continue </w:t>
      </w:r>
      <w:r w:rsidR="00192B01">
        <w:t>learn</w:t>
      </w:r>
      <w:r w:rsidR="00E54623">
        <w:t xml:space="preserve">ing at the CEGEP level than </w:t>
      </w:r>
      <w:r w:rsidR="00192B01">
        <w:t>performance</w:t>
      </w:r>
      <w:r w:rsidR="00E54623">
        <w:t>-</w:t>
      </w:r>
      <w:r w:rsidR="00192B01">
        <w:t xml:space="preserve">oriented students </w:t>
      </w:r>
      <w:r w:rsidR="00E54623">
        <w:t xml:space="preserve">who </w:t>
      </w:r>
      <w:r w:rsidR="00192B01">
        <w:t>received higher grades</w:t>
      </w:r>
      <w:r w:rsidR="00E54623">
        <w:t xml:space="preserve"> </w:t>
      </w:r>
      <w:r w:rsidR="00192B01">
        <w:t xml:space="preserve">but </w:t>
      </w:r>
      <w:r w:rsidR="00DA24E6">
        <w:t xml:space="preserve">experienced </w:t>
      </w:r>
      <w:r w:rsidR="00DA24E6">
        <w:lastRenderedPageBreak/>
        <w:t>more negative emotions</w:t>
      </w:r>
      <w:r w:rsidR="00192B01">
        <w:t xml:space="preserve"> in the classroom</w:t>
      </w:r>
      <w:r w:rsidR="00DC57CF">
        <w:t>.</w:t>
      </w:r>
      <w:r w:rsidR="00192B01">
        <w:t xml:space="preserve"> </w:t>
      </w:r>
      <w:r w:rsidR="00704C53">
        <w:t>Finally,</w:t>
      </w:r>
      <w:r w:rsidR="008207E9">
        <w:t xml:space="preserve"> </w:t>
      </w:r>
      <w:r w:rsidR="00DA24E6">
        <w:t>our results underscored</w:t>
      </w:r>
      <w:r w:rsidR="00192B01">
        <w:t xml:space="preserve"> the mediating role of </w:t>
      </w:r>
      <w:r w:rsidR="00DA24E6">
        <w:t xml:space="preserve">students’ emotions with </w:t>
      </w:r>
      <w:r w:rsidR="00192B01">
        <w:t xml:space="preserve">positive affect </w:t>
      </w:r>
      <w:r w:rsidR="00DA24E6">
        <w:t xml:space="preserve">predicting </w:t>
      </w:r>
      <w:r w:rsidR="003F24FB">
        <w:t xml:space="preserve">greater </w:t>
      </w:r>
      <w:r w:rsidR="00192B01">
        <w:t>persistence (4a)</w:t>
      </w:r>
      <w:r w:rsidR="003F24FB">
        <w:t xml:space="preserve">. </w:t>
      </w:r>
      <w:r w:rsidR="00CA6764">
        <w:t>Although</w:t>
      </w:r>
      <w:r w:rsidR="003F24FB">
        <w:t xml:space="preserve"> </w:t>
      </w:r>
      <w:r w:rsidR="00192B01">
        <w:t xml:space="preserve">negative affect </w:t>
      </w:r>
      <w:r w:rsidR="00CA6764">
        <w:t>was not found to significantly predict</w:t>
      </w:r>
      <w:r w:rsidR="00192B01">
        <w:t xml:space="preserve"> persistence (4</w:t>
      </w:r>
      <w:r w:rsidR="00EA149C">
        <w:t>c</w:t>
      </w:r>
      <w:r w:rsidR="00192B01">
        <w:t>)</w:t>
      </w:r>
      <w:r w:rsidR="00CA6764">
        <w:t xml:space="preserve">, </w:t>
      </w:r>
      <w:r>
        <w:t xml:space="preserve">our findings showed CEGEP </w:t>
      </w:r>
      <w:r w:rsidR="00192B01">
        <w:t xml:space="preserve">students </w:t>
      </w:r>
      <w:r w:rsidR="0053441E">
        <w:t xml:space="preserve">to not only </w:t>
      </w:r>
      <w:r w:rsidR="00192B01">
        <w:t xml:space="preserve">experience </w:t>
      </w:r>
      <w:r w:rsidR="0053441E">
        <w:t xml:space="preserve">more </w:t>
      </w:r>
      <w:r w:rsidR="00192B01">
        <w:t xml:space="preserve">positive than negative </w:t>
      </w:r>
      <w:r w:rsidR="0053441E">
        <w:t xml:space="preserve">emotions </w:t>
      </w:r>
      <w:r w:rsidR="00192B01">
        <w:t xml:space="preserve">in the classroom, </w:t>
      </w:r>
      <w:r w:rsidR="0053441E">
        <w:t xml:space="preserve">but also </w:t>
      </w:r>
      <w:r w:rsidR="00B9629A">
        <w:t>how</w:t>
      </w:r>
      <w:r w:rsidR="0053441E">
        <w:t xml:space="preserve"> students’ motivation impact</w:t>
      </w:r>
      <w:r w:rsidR="00B9629A">
        <w:t>s</w:t>
      </w:r>
      <w:r w:rsidR="0053441E">
        <w:t xml:space="preserve"> their emotions that, in turn, predict persistence in STEM disciplines</w:t>
      </w:r>
      <w:r w:rsidR="00192B01">
        <w:t>.</w:t>
      </w:r>
    </w:p>
    <w:p w14:paraId="142ED4AA" w14:textId="65A3AE35" w:rsidR="000D03DD" w:rsidRDefault="00B9629A" w:rsidP="00AD7C10">
      <w:pPr>
        <w:ind w:firstLine="720"/>
        <w:contextualSpacing/>
      </w:pPr>
      <w:r>
        <w:rPr>
          <w:iCs/>
        </w:rPr>
        <w:t xml:space="preserve">With respect to </w:t>
      </w:r>
      <w:r w:rsidRPr="00CD0241">
        <w:rPr>
          <w:i/>
          <w:iCs/>
        </w:rPr>
        <w:t>gender differences</w:t>
      </w:r>
      <w:r>
        <w:rPr>
          <w:iCs/>
        </w:rPr>
        <w:t xml:space="preserve">, </w:t>
      </w:r>
      <w:r w:rsidR="00EE7970">
        <w:rPr>
          <w:iCs/>
        </w:rPr>
        <w:t xml:space="preserve">students’ </w:t>
      </w:r>
      <w:r w:rsidRPr="00CD0241">
        <w:rPr>
          <w:iCs/>
        </w:rPr>
        <w:t>perceptions of</w:t>
      </w:r>
      <w:r w:rsidR="00192B01" w:rsidRPr="00B9629A">
        <w:t xml:space="preserve"> </w:t>
      </w:r>
      <w:r w:rsidR="00192B01">
        <w:t>autono</w:t>
      </w:r>
      <w:r>
        <w:t xml:space="preserve">my as afforded by </w:t>
      </w:r>
      <w:r w:rsidR="00EE7970">
        <w:t>their</w:t>
      </w:r>
      <w:r>
        <w:t xml:space="preserve"> science</w:t>
      </w:r>
      <w:r w:rsidR="001532EA">
        <w:t xml:space="preserve"> and math</w:t>
      </w:r>
      <w:r>
        <w:t xml:space="preserve"> instructor</w:t>
      </w:r>
      <w:r w:rsidR="001532EA">
        <w:t>s</w:t>
      </w:r>
      <w:r w:rsidR="00192B01">
        <w:t xml:space="preserve"> </w:t>
      </w:r>
      <w:r w:rsidR="001532EA">
        <w:t xml:space="preserve">were </w:t>
      </w:r>
      <w:r w:rsidR="00192B01">
        <w:t xml:space="preserve">linked to </w:t>
      </w:r>
      <w:r w:rsidR="001532EA">
        <w:t>better emotional outcomes</w:t>
      </w:r>
      <w:r w:rsidR="00192B01">
        <w:t xml:space="preserve"> for </w:t>
      </w:r>
      <w:r w:rsidR="00236742">
        <w:t>males</w:t>
      </w:r>
      <w:r w:rsidR="00192B01">
        <w:t xml:space="preserve"> but not for </w:t>
      </w:r>
      <w:r w:rsidR="00236742">
        <w:t>females</w:t>
      </w:r>
      <w:r w:rsidR="00192B01">
        <w:t xml:space="preserve">. Given </w:t>
      </w:r>
      <w:r w:rsidR="001A0276">
        <w:t xml:space="preserve">our </w:t>
      </w:r>
      <w:r w:rsidR="00EE7970">
        <w:t xml:space="preserve">findings showing </w:t>
      </w:r>
      <w:r w:rsidR="002466DC">
        <w:t>female</w:t>
      </w:r>
      <w:r w:rsidR="001A0276">
        <w:t>s</w:t>
      </w:r>
      <w:r w:rsidR="00ED6F61">
        <w:t xml:space="preserve"> </w:t>
      </w:r>
      <w:r w:rsidR="00EE7970">
        <w:t xml:space="preserve">to have </w:t>
      </w:r>
      <w:r w:rsidR="00192B01">
        <w:t>low</w:t>
      </w:r>
      <w:r w:rsidR="00EE7970">
        <w:t>er</w:t>
      </w:r>
      <w:r w:rsidR="00192B01">
        <w:t xml:space="preserve"> self</w:t>
      </w:r>
      <w:r w:rsidR="00EE7970">
        <w:t>-</w:t>
      </w:r>
      <w:r w:rsidR="00ED6F61">
        <w:t>efficacy</w:t>
      </w:r>
      <w:r w:rsidR="00192B01">
        <w:t xml:space="preserve"> </w:t>
      </w:r>
      <w:r w:rsidR="001A0276">
        <w:t>regarding</w:t>
      </w:r>
      <w:r w:rsidR="00192B01">
        <w:t xml:space="preserve"> </w:t>
      </w:r>
      <w:r w:rsidR="00ED6F61">
        <w:t>science than males</w:t>
      </w:r>
      <w:r w:rsidR="00382B86">
        <w:t xml:space="preserve"> (Cohen’s </w:t>
      </w:r>
      <w:r w:rsidR="00382B86" w:rsidRPr="00CD0241">
        <w:rPr>
          <w:i/>
        </w:rPr>
        <w:t>d</w:t>
      </w:r>
      <w:r w:rsidR="00382B86">
        <w:t xml:space="preserve"> = .55)</w:t>
      </w:r>
      <w:r w:rsidR="00192B01">
        <w:t xml:space="preserve">, they may not </w:t>
      </w:r>
      <w:r w:rsidR="00382B86">
        <w:t xml:space="preserve">have felt </w:t>
      </w:r>
      <w:r w:rsidR="00192B01">
        <w:t xml:space="preserve">adequately prepared </w:t>
      </w:r>
      <w:r w:rsidR="00382B86">
        <w:t>to assume</w:t>
      </w:r>
      <w:r w:rsidR="00192B01">
        <w:t xml:space="preserve"> more responsibility in </w:t>
      </w:r>
      <w:r w:rsidR="00382B86">
        <w:t>STEM courses</w:t>
      </w:r>
      <w:r w:rsidR="00192B01">
        <w:t xml:space="preserve"> and </w:t>
      </w:r>
      <w:r w:rsidR="00382B86">
        <w:t>instead preferred</w:t>
      </w:r>
      <w:r w:rsidR="00192B01">
        <w:t xml:space="preserve"> a </w:t>
      </w:r>
      <w:r w:rsidR="00E22F0C">
        <w:t>more structured</w:t>
      </w:r>
      <w:r w:rsidR="009A18BB">
        <w:t xml:space="preserve"> or controlling</w:t>
      </w:r>
      <w:r w:rsidR="00E22F0C">
        <w:t xml:space="preserve"> learning </w:t>
      </w:r>
      <w:r w:rsidR="00E22F0C" w:rsidRPr="00867E70">
        <w:t xml:space="preserve">environment </w:t>
      </w:r>
      <w:r w:rsidR="00192B01" w:rsidRPr="00867E70">
        <w:t xml:space="preserve">(Jones &amp; Wheatley, 1990). </w:t>
      </w:r>
      <w:r w:rsidR="00E22F0C" w:rsidRPr="00867E70">
        <w:t>Female</w:t>
      </w:r>
      <w:r w:rsidR="00E22F0C">
        <w:t xml:space="preserve"> students may also have been less receptive to</w:t>
      </w:r>
      <w:r w:rsidR="00192B01">
        <w:t xml:space="preserve"> </w:t>
      </w:r>
      <w:r w:rsidR="00E22F0C">
        <w:t>efforts to increase communication and participation in the science classroom</w:t>
      </w:r>
      <w:r w:rsidR="00192B01">
        <w:t xml:space="preserve">, where </w:t>
      </w:r>
      <w:r w:rsidR="00236742">
        <w:t>males</w:t>
      </w:r>
      <w:r w:rsidR="00192B01">
        <w:t xml:space="preserve"> tend to dominate </w:t>
      </w:r>
      <w:r w:rsidR="00685043">
        <w:t xml:space="preserve">groups </w:t>
      </w:r>
      <w:r w:rsidR="00192B01">
        <w:t xml:space="preserve">discussion and create a climate of </w:t>
      </w:r>
      <w:r w:rsidR="00192B01" w:rsidRPr="00DE5AD2">
        <w:t xml:space="preserve">competition </w:t>
      </w:r>
      <w:r w:rsidR="00192B01">
        <w:t>(</w:t>
      </w:r>
      <w:proofErr w:type="spellStart"/>
      <w:r w:rsidR="00875EE3">
        <w:t>Beaman</w:t>
      </w:r>
      <w:proofErr w:type="spellEnd"/>
      <w:r w:rsidR="00875EE3">
        <w:t xml:space="preserve">, </w:t>
      </w:r>
      <w:proofErr w:type="spellStart"/>
      <w:r w:rsidR="00875EE3">
        <w:t>Wheldall</w:t>
      </w:r>
      <w:proofErr w:type="spellEnd"/>
      <w:r w:rsidR="00875EE3">
        <w:t>, &amp; Kemp,</w:t>
      </w:r>
      <w:r w:rsidR="00875EE3" w:rsidDel="00875EE3">
        <w:t xml:space="preserve"> </w:t>
      </w:r>
      <w:r w:rsidR="00192B01">
        <w:t>2006)</w:t>
      </w:r>
      <w:r w:rsidR="00685043">
        <w:t xml:space="preserve"> </w:t>
      </w:r>
      <w:r w:rsidR="001B6F0D">
        <w:t>and</w:t>
      </w:r>
      <w:r w:rsidR="00685043">
        <w:t xml:space="preserve"> females</w:t>
      </w:r>
      <w:r w:rsidR="00192B01">
        <w:t xml:space="preserve"> </w:t>
      </w:r>
      <w:r w:rsidR="00685043">
        <w:t>tend to be</w:t>
      </w:r>
      <w:r w:rsidR="00192B01">
        <w:t xml:space="preserve"> more compliant </w:t>
      </w:r>
      <w:r w:rsidR="00685043">
        <w:t>during class</w:t>
      </w:r>
      <w:r w:rsidR="00192B01">
        <w:t xml:space="preserve"> (</w:t>
      </w:r>
      <w:proofErr w:type="spellStart"/>
      <w:r w:rsidR="00192B01">
        <w:t>Assor</w:t>
      </w:r>
      <w:proofErr w:type="spellEnd"/>
      <w:r w:rsidR="00192B01">
        <w:t xml:space="preserve"> et al., 2005). </w:t>
      </w:r>
      <w:r w:rsidR="001B6F0D">
        <w:t>Further, whereas</w:t>
      </w:r>
      <w:r w:rsidR="00192B01">
        <w:t xml:space="preserve"> performance goals </w:t>
      </w:r>
      <w:r w:rsidR="001B6F0D">
        <w:t>predicted better grades only</w:t>
      </w:r>
      <w:r w:rsidR="00192B01">
        <w:t xml:space="preserve"> </w:t>
      </w:r>
      <w:r w:rsidR="001B6F0D">
        <w:t>for females,</w:t>
      </w:r>
      <w:r w:rsidR="002B7721">
        <w:t xml:space="preserve"> </w:t>
      </w:r>
      <w:r w:rsidR="001B6F0D">
        <w:t xml:space="preserve">this effect was notably </w:t>
      </w:r>
      <w:r w:rsidR="002B7721">
        <w:t xml:space="preserve">weak (cf., </w:t>
      </w:r>
      <w:proofErr w:type="spellStart"/>
      <w:r w:rsidR="002B7721">
        <w:t>Brophy</w:t>
      </w:r>
      <w:proofErr w:type="spellEnd"/>
      <w:r w:rsidR="002B7721">
        <w:t xml:space="preserve">, 2005; </w:t>
      </w:r>
      <w:proofErr w:type="spellStart"/>
      <w:r w:rsidR="002B7721">
        <w:t>Harackiewicz</w:t>
      </w:r>
      <w:proofErr w:type="spellEnd"/>
      <w:r w:rsidR="002B7721">
        <w:t xml:space="preserve"> et al., 2002; Kaplan &amp; </w:t>
      </w:r>
      <w:proofErr w:type="spellStart"/>
      <w:r w:rsidR="002B7721">
        <w:t>Maehr</w:t>
      </w:r>
      <w:proofErr w:type="spellEnd"/>
      <w:r w:rsidR="002B7721">
        <w:t xml:space="preserve">, 1999; </w:t>
      </w:r>
      <w:proofErr w:type="spellStart"/>
      <w:r w:rsidR="002B7721">
        <w:t>Roeser</w:t>
      </w:r>
      <w:proofErr w:type="spellEnd"/>
      <w:r w:rsidR="002B7721">
        <w:t xml:space="preserve">, </w:t>
      </w:r>
      <w:proofErr w:type="spellStart"/>
      <w:r w:rsidR="002B7721">
        <w:t>Midgley</w:t>
      </w:r>
      <w:proofErr w:type="spellEnd"/>
      <w:r w:rsidR="002B7721">
        <w:t xml:space="preserve">, &amp; </w:t>
      </w:r>
      <w:proofErr w:type="spellStart"/>
      <w:r w:rsidR="002B7721">
        <w:t>Urdan</w:t>
      </w:r>
      <w:proofErr w:type="spellEnd"/>
      <w:r w:rsidR="002B7721">
        <w:t>, 1996)</w:t>
      </w:r>
      <w:r w:rsidR="001B6F0D">
        <w:t>, likely due to participants having</w:t>
      </w:r>
      <w:r w:rsidR="00192B01">
        <w:t xml:space="preserve"> obtained relatively high grades (i.e., above 70)</w:t>
      </w:r>
      <w:r w:rsidR="001B6F0D">
        <w:t xml:space="preserve"> thereby contributing to lower variability in achievement as compared to recent studies (e.g., </w:t>
      </w:r>
      <w:proofErr w:type="spellStart"/>
      <w:r w:rsidR="001B6F0D">
        <w:t>Pekrun</w:t>
      </w:r>
      <w:proofErr w:type="spellEnd"/>
      <w:r w:rsidR="001B6F0D">
        <w:t>, Hall, Perry, &amp; Goetz, in press).</w:t>
      </w:r>
      <w:r w:rsidR="00AC7F05">
        <w:t xml:space="preserve"> Finally, self-efficacy </w:t>
      </w:r>
      <w:r w:rsidR="00627664">
        <w:t xml:space="preserve">more strongly </w:t>
      </w:r>
      <w:r w:rsidR="00AC7F05">
        <w:t>predict</w:t>
      </w:r>
      <w:r w:rsidR="000D03DD">
        <w:t>ed</w:t>
      </w:r>
      <w:r w:rsidR="00AC7F05">
        <w:t xml:space="preserve"> lower levels of negative affect in female</w:t>
      </w:r>
      <w:r w:rsidR="00627664">
        <w:t>s</w:t>
      </w:r>
      <w:r w:rsidR="00AC7F05">
        <w:t xml:space="preserve"> </w:t>
      </w:r>
      <w:r w:rsidR="00062FAE">
        <w:t>than for</w:t>
      </w:r>
      <w:r w:rsidR="00AC7F05">
        <w:t xml:space="preserve"> male</w:t>
      </w:r>
      <w:r w:rsidR="00627664">
        <w:t>s</w:t>
      </w:r>
      <w:r w:rsidR="00AC7F05">
        <w:t xml:space="preserve">, highlighting the </w:t>
      </w:r>
      <w:r w:rsidR="00627664">
        <w:t>need for</w:t>
      </w:r>
      <w:r w:rsidR="00AC7F05">
        <w:t xml:space="preserve"> future </w:t>
      </w:r>
      <w:r w:rsidR="00627664">
        <w:t xml:space="preserve">intervention </w:t>
      </w:r>
      <w:r w:rsidR="00AC7F05">
        <w:t>research addressing maladaptive, and often unfounded, perceptions of competence concerning STEM disciplines in female students (</w:t>
      </w:r>
      <w:r w:rsidR="00DB49C5">
        <w:t xml:space="preserve">see </w:t>
      </w:r>
      <w:r w:rsidR="00AC7F05">
        <w:t>Goetz et al., 2013).</w:t>
      </w:r>
    </w:p>
    <w:p w14:paraId="63F804EC" w14:textId="77777777" w:rsidR="00030275" w:rsidRDefault="00192B01" w:rsidP="00030275">
      <w:pPr>
        <w:ind w:firstLine="709"/>
        <w:contextualSpacing/>
        <w:rPr>
          <w:szCs w:val="22"/>
          <w:lang w:val="en-CA"/>
        </w:rPr>
      </w:pPr>
      <w:r>
        <w:t xml:space="preserve">The present study reiterates the need to encourage and support students’ autonomy in </w:t>
      </w:r>
      <w:r w:rsidR="00062FAE">
        <w:t xml:space="preserve">science </w:t>
      </w:r>
      <w:r>
        <w:t>classroom</w:t>
      </w:r>
      <w:r w:rsidR="00062FAE">
        <w:t>s</w:t>
      </w:r>
      <w:r>
        <w:t xml:space="preserve"> by offering </w:t>
      </w:r>
      <w:r w:rsidR="00062FAE">
        <w:t xml:space="preserve">greater </w:t>
      </w:r>
      <w:r>
        <w:t>choice and encouraging students’ active involvement in both the content and enactment of the curriculum. Indeed, the learning environment needs to be a central focus for promoting persistence</w:t>
      </w:r>
      <w:r w:rsidR="00785568">
        <w:t xml:space="preserve"> in STEM programs</w:t>
      </w:r>
      <w:r>
        <w:t xml:space="preserve"> because </w:t>
      </w:r>
      <w:r>
        <w:rPr>
          <w:szCs w:val="22"/>
          <w:lang w:val="en-CA"/>
        </w:rPr>
        <w:t xml:space="preserve">the classroom is the </w:t>
      </w:r>
      <w:r w:rsidR="003C2172">
        <w:rPr>
          <w:szCs w:val="22"/>
          <w:lang w:val="en-CA"/>
        </w:rPr>
        <w:t xml:space="preserve">primary </w:t>
      </w:r>
      <w:r>
        <w:rPr>
          <w:szCs w:val="22"/>
          <w:lang w:val="en-CA"/>
        </w:rPr>
        <w:t>arena within which teachers can influence their students (</w:t>
      </w:r>
      <w:proofErr w:type="spellStart"/>
      <w:r>
        <w:rPr>
          <w:szCs w:val="22"/>
          <w:lang w:val="en-CA"/>
        </w:rPr>
        <w:t>Pintrich</w:t>
      </w:r>
      <w:proofErr w:type="spellEnd"/>
      <w:r>
        <w:rPr>
          <w:szCs w:val="22"/>
          <w:lang w:val="en-CA"/>
        </w:rPr>
        <w:t xml:space="preserve">, 2003; Tinto, 1997). For </w:t>
      </w:r>
      <w:r w:rsidR="00236742">
        <w:rPr>
          <w:szCs w:val="22"/>
          <w:lang w:val="en-CA"/>
        </w:rPr>
        <w:t>males</w:t>
      </w:r>
      <w:r>
        <w:rPr>
          <w:szCs w:val="22"/>
          <w:lang w:val="en-CA"/>
        </w:rPr>
        <w:t xml:space="preserve">, </w:t>
      </w:r>
      <w:r w:rsidR="003C2172">
        <w:rPr>
          <w:szCs w:val="22"/>
          <w:lang w:val="en-CA"/>
        </w:rPr>
        <w:t xml:space="preserve">their emotions </w:t>
      </w:r>
      <w:r>
        <w:rPr>
          <w:szCs w:val="22"/>
          <w:lang w:val="en-CA"/>
        </w:rPr>
        <w:t>mediate</w:t>
      </w:r>
      <w:r w:rsidR="003C2172">
        <w:rPr>
          <w:szCs w:val="22"/>
          <w:lang w:val="en-CA"/>
        </w:rPr>
        <w:t>d</w:t>
      </w:r>
      <w:r>
        <w:rPr>
          <w:szCs w:val="22"/>
          <w:lang w:val="en-CA"/>
        </w:rPr>
        <w:t xml:space="preserve"> the relationship between </w:t>
      </w:r>
      <w:r w:rsidR="003C2172">
        <w:rPr>
          <w:szCs w:val="22"/>
          <w:lang w:val="en-CA"/>
        </w:rPr>
        <w:t xml:space="preserve">perceived </w:t>
      </w:r>
      <w:r>
        <w:rPr>
          <w:szCs w:val="22"/>
          <w:lang w:val="en-CA"/>
        </w:rPr>
        <w:t xml:space="preserve">autonomy and persistence, </w:t>
      </w:r>
      <w:r w:rsidR="003C2172">
        <w:rPr>
          <w:szCs w:val="22"/>
          <w:lang w:val="en-CA"/>
        </w:rPr>
        <w:t xml:space="preserve">suggesting </w:t>
      </w:r>
      <w:r>
        <w:rPr>
          <w:szCs w:val="22"/>
          <w:lang w:val="en-CA"/>
        </w:rPr>
        <w:t>that</w:t>
      </w:r>
      <w:r w:rsidR="003C2172">
        <w:rPr>
          <w:szCs w:val="22"/>
          <w:lang w:val="en-CA"/>
        </w:rPr>
        <w:t xml:space="preserve"> efforts to promote autonomy in science classrooms may be particularly beneficial for males with respect to their</w:t>
      </w:r>
      <w:r>
        <w:rPr>
          <w:szCs w:val="22"/>
          <w:lang w:val="en-CA"/>
        </w:rPr>
        <w:t xml:space="preserve"> </w:t>
      </w:r>
      <w:r w:rsidR="003C2172">
        <w:rPr>
          <w:szCs w:val="22"/>
          <w:lang w:val="en-CA"/>
        </w:rPr>
        <w:t xml:space="preserve">emotional </w:t>
      </w:r>
      <w:r>
        <w:rPr>
          <w:szCs w:val="22"/>
          <w:lang w:val="en-CA"/>
        </w:rPr>
        <w:t>experience</w:t>
      </w:r>
      <w:r w:rsidR="003C2172">
        <w:rPr>
          <w:szCs w:val="22"/>
          <w:lang w:val="en-CA"/>
        </w:rPr>
        <w:t>s</w:t>
      </w:r>
      <w:r>
        <w:rPr>
          <w:szCs w:val="22"/>
          <w:lang w:val="en-CA"/>
        </w:rPr>
        <w:t xml:space="preserve"> and</w:t>
      </w:r>
      <w:r w:rsidR="003C2172">
        <w:rPr>
          <w:szCs w:val="22"/>
          <w:lang w:val="en-CA"/>
        </w:rPr>
        <w:t>,</w:t>
      </w:r>
      <w:r>
        <w:rPr>
          <w:szCs w:val="22"/>
          <w:lang w:val="en-CA"/>
        </w:rPr>
        <w:t xml:space="preserve"> in turn</w:t>
      </w:r>
      <w:r w:rsidR="003C2172">
        <w:rPr>
          <w:szCs w:val="22"/>
          <w:lang w:val="en-CA"/>
        </w:rPr>
        <w:t>,</w:t>
      </w:r>
      <w:r>
        <w:rPr>
          <w:szCs w:val="22"/>
          <w:lang w:val="en-CA"/>
        </w:rPr>
        <w:t xml:space="preserve"> persist</w:t>
      </w:r>
      <w:r w:rsidR="003C2172">
        <w:rPr>
          <w:szCs w:val="22"/>
          <w:lang w:val="en-CA"/>
        </w:rPr>
        <w:t>ence</w:t>
      </w:r>
      <w:r>
        <w:rPr>
          <w:szCs w:val="22"/>
          <w:lang w:val="en-CA"/>
        </w:rPr>
        <w:t xml:space="preserve">. </w:t>
      </w:r>
      <w:r w:rsidR="003C2172">
        <w:rPr>
          <w:szCs w:val="22"/>
          <w:lang w:val="en-CA"/>
        </w:rPr>
        <w:t>The emotional experiences of female students</w:t>
      </w:r>
      <w:r>
        <w:rPr>
          <w:szCs w:val="22"/>
          <w:lang w:val="en-CA"/>
        </w:rPr>
        <w:t>, on the other hand, seem</w:t>
      </w:r>
      <w:r w:rsidR="003C2172">
        <w:rPr>
          <w:szCs w:val="22"/>
          <w:lang w:val="en-CA"/>
        </w:rPr>
        <w:t>ed</w:t>
      </w:r>
      <w:r>
        <w:rPr>
          <w:szCs w:val="22"/>
          <w:lang w:val="en-CA"/>
        </w:rPr>
        <w:t xml:space="preserve"> to derive </w:t>
      </w:r>
      <w:r w:rsidR="003C2172">
        <w:rPr>
          <w:szCs w:val="22"/>
          <w:lang w:val="en-CA"/>
        </w:rPr>
        <w:t>more</w:t>
      </w:r>
      <w:r>
        <w:rPr>
          <w:szCs w:val="22"/>
          <w:lang w:val="en-CA"/>
        </w:rPr>
        <w:t xml:space="preserve"> from internal characteristics such as their sense of competence and personal achievement goals.</w:t>
      </w:r>
      <w:r w:rsidR="003C2172">
        <w:rPr>
          <w:szCs w:val="22"/>
          <w:lang w:val="en-CA"/>
        </w:rPr>
        <w:t xml:space="preserve"> As such, these findings underscore the need for greater</w:t>
      </w:r>
      <w:r>
        <w:rPr>
          <w:szCs w:val="22"/>
          <w:lang w:val="en-CA"/>
        </w:rPr>
        <w:t xml:space="preserve"> efforts to increase </w:t>
      </w:r>
      <w:r w:rsidR="002466DC">
        <w:rPr>
          <w:szCs w:val="22"/>
          <w:lang w:val="en-CA"/>
        </w:rPr>
        <w:t>female</w:t>
      </w:r>
      <w:r w:rsidR="003C2172">
        <w:rPr>
          <w:szCs w:val="22"/>
          <w:lang w:val="en-CA"/>
        </w:rPr>
        <w:t>s</w:t>
      </w:r>
      <w:r w:rsidR="002466DC">
        <w:rPr>
          <w:szCs w:val="22"/>
          <w:lang w:val="en-CA"/>
        </w:rPr>
        <w:t>’</w:t>
      </w:r>
      <w:r>
        <w:rPr>
          <w:szCs w:val="22"/>
          <w:lang w:val="en-CA"/>
        </w:rPr>
        <w:t xml:space="preserve"> sense of competence with</w:t>
      </w:r>
      <w:r w:rsidR="003C2172">
        <w:rPr>
          <w:szCs w:val="22"/>
          <w:lang w:val="en-CA"/>
        </w:rPr>
        <w:t xml:space="preserve"> respect to</w:t>
      </w:r>
      <w:r>
        <w:rPr>
          <w:szCs w:val="22"/>
          <w:lang w:val="en-CA"/>
        </w:rPr>
        <w:t xml:space="preserve"> mathematics and science, </w:t>
      </w:r>
      <w:r w:rsidR="003C2172">
        <w:rPr>
          <w:szCs w:val="22"/>
          <w:lang w:val="en-CA"/>
        </w:rPr>
        <w:t xml:space="preserve">particularly given that </w:t>
      </w:r>
      <w:r>
        <w:rPr>
          <w:szCs w:val="22"/>
          <w:lang w:val="en-CA"/>
        </w:rPr>
        <w:t>their</w:t>
      </w:r>
      <w:r w:rsidR="003C2172">
        <w:rPr>
          <w:szCs w:val="22"/>
          <w:lang w:val="en-CA"/>
        </w:rPr>
        <w:t xml:space="preserve"> resulting emotional well-being should have a direct impact on observed persistence in STEM disciplines</w:t>
      </w:r>
      <w:r w:rsidR="003A2AA6">
        <w:rPr>
          <w:szCs w:val="22"/>
          <w:lang w:val="en-CA"/>
        </w:rPr>
        <w:t xml:space="preserve"> (e.g., through control-</w:t>
      </w:r>
      <w:r w:rsidR="00C63A47">
        <w:rPr>
          <w:szCs w:val="22"/>
          <w:lang w:val="en-CA"/>
        </w:rPr>
        <w:t xml:space="preserve">enhancing programs such as </w:t>
      </w:r>
      <w:proofErr w:type="spellStart"/>
      <w:r w:rsidR="00C63A47">
        <w:rPr>
          <w:szCs w:val="22"/>
          <w:lang w:val="en-CA"/>
        </w:rPr>
        <w:t>Attributional</w:t>
      </w:r>
      <w:proofErr w:type="spellEnd"/>
      <w:r w:rsidR="00C63A47">
        <w:rPr>
          <w:szCs w:val="22"/>
          <w:lang w:val="en-CA"/>
        </w:rPr>
        <w:t xml:space="preserve"> Retraining; see Hall et al., 2007)</w:t>
      </w:r>
      <w:r>
        <w:rPr>
          <w:szCs w:val="22"/>
          <w:lang w:val="en-CA"/>
        </w:rPr>
        <w:t xml:space="preserve">. </w:t>
      </w:r>
      <w:r w:rsidR="00AA5DF0">
        <w:rPr>
          <w:szCs w:val="22"/>
          <w:lang w:val="en-CA"/>
        </w:rPr>
        <w:t>More generally</w:t>
      </w:r>
      <w:r>
        <w:rPr>
          <w:szCs w:val="22"/>
          <w:lang w:val="en-CA"/>
        </w:rPr>
        <w:t xml:space="preserve">, </w:t>
      </w:r>
      <w:r w:rsidR="00C63A47">
        <w:rPr>
          <w:szCs w:val="22"/>
          <w:lang w:val="en-CA"/>
        </w:rPr>
        <w:t xml:space="preserve">the </w:t>
      </w:r>
      <w:r>
        <w:rPr>
          <w:szCs w:val="22"/>
          <w:lang w:val="en-CA"/>
        </w:rPr>
        <w:t xml:space="preserve">positive </w:t>
      </w:r>
      <w:r w:rsidR="00C63A47">
        <w:rPr>
          <w:szCs w:val="22"/>
          <w:lang w:val="en-CA"/>
        </w:rPr>
        <w:t xml:space="preserve">relationship between </w:t>
      </w:r>
      <w:r>
        <w:rPr>
          <w:szCs w:val="22"/>
          <w:lang w:val="en-CA"/>
        </w:rPr>
        <w:t xml:space="preserve">affective experiences </w:t>
      </w:r>
      <w:r w:rsidR="00C63A47">
        <w:rPr>
          <w:szCs w:val="22"/>
          <w:lang w:val="en-CA"/>
        </w:rPr>
        <w:t>and persistence for both male</w:t>
      </w:r>
      <w:r w:rsidR="00AA5DF0">
        <w:rPr>
          <w:szCs w:val="22"/>
          <w:lang w:val="en-CA"/>
        </w:rPr>
        <w:t>s</w:t>
      </w:r>
      <w:r w:rsidR="00C63A47">
        <w:rPr>
          <w:szCs w:val="22"/>
          <w:lang w:val="en-CA"/>
        </w:rPr>
        <w:t xml:space="preserve"> and females reiterates the </w:t>
      </w:r>
      <w:r w:rsidR="00DE5268">
        <w:rPr>
          <w:szCs w:val="22"/>
          <w:lang w:val="en-CA"/>
        </w:rPr>
        <w:t>importance of students’ emotional adjustment</w:t>
      </w:r>
      <w:r w:rsidR="003A2AA6">
        <w:rPr>
          <w:szCs w:val="22"/>
          <w:lang w:val="en-CA"/>
        </w:rPr>
        <w:t xml:space="preserve"> </w:t>
      </w:r>
      <w:r w:rsidR="00750023">
        <w:rPr>
          <w:szCs w:val="22"/>
          <w:lang w:val="en-CA"/>
        </w:rPr>
        <w:t xml:space="preserve">in STEM education </w:t>
      </w:r>
      <w:r w:rsidR="00DE5268">
        <w:rPr>
          <w:szCs w:val="22"/>
          <w:lang w:val="en-CA"/>
        </w:rPr>
        <w:t>in that by</w:t>
      </w:r>
      <w:r>
        <w:rPr>
          <w:szCs w:val="22"/>
          <w:lang w:val="en-CA"/>
        </w:rPr>
        <w:t xml:space="preserve"> </w:t>
      </w:r>
      <w:r w:rsidR="00DE5268">
        <w:rPr>
          <w:szCs w:val="22"/>
          <w:lang w:val="en-CA"/>
        </w:rPr>
        <w:t>p</w:t>
      </w:r>
      <w:r>
        <w:rPr>
          <w:szCs w:val="22"/>
          <w:lang w:val="en-CA"/>
        </w:rPr>
        <w:t>roviding positive feedback to students</w:t>
      </w:r>
      <w:r w:rsidR="00DE5268">
        <w:rPr>
          <w:szCs w:val="22"/>
          <w:lang w:val="en-CA"/>
        </w:rPr>
        <w:t xml:space="preserve">, and </w:t>
      </w:r>
      <w:r>
        <w:rPr>
          <w:szCs w:val="22"/>
          <w:lang w:val="en-CA"/>
        </w:rPr>
        <w:t xml:space="preserve">making </w:t>
      </w:r>
      <w:r w:rsidR="00DE5268">
        <w:rPr>
          <w:szCs w:val="22"/>
          <w:lang w:val="en-CA"/>
        </w:rPr>
        <w:t xml:space="preserve">science </w:t>
      </w:r>
      <w:r>
        <w:rPr>
          <w:szCs w:val="22"/>
          <w:lang w:val="en-CA"/>
        </w:rPr>
        <w:t xml:space="preserve">activities </w:t>
      </w:r>
      <w:r w:rsidR="00DE5268">
        <w:rPr>
          <w:szCs w:val="22"/>
          <w:lang w:val="en-CA"/>
        </w:rPr>
        <w:t xml:space="preserve">enjoyable </w:t>
      </w:r>
      <w:r>
        <w:rPr>
          <w:szCs w:val="22"/>
          <w:lang w:val="en-CA"/>
        </w:rPr>
        <w:t>and relevant</w:t>
      </w:r>
      <w:r w:rsidR="00DE5268">
        <w:rPr>
          <w:szCs w:val="22"/>
          <w:lang w:val="en-CA"/>
        </w:rPr>
        <w:t>,</w:t>
      </w:r>
      <w:r>
        <w:rPr>
          <w:szCs w:val="22"/>
          <w:lang w:val="en-CA"/>
        </w:rPr>
        <w:t xml:space="preserve"> </w:t>
      </w:r>
      <w:r w:rsidR="00750023">
        <w:rPr>
          <w:szCs w:val="22"/>
          <w:lang w:val="en-CA"/>
        </w:rPr>
        <w:t>positive changes in persistence and achievement should result</w:t>
      </w:r>
      <w:r>
        <w:rPr>
          <w:szCs w:val="22"/>
          <w:lang w:val="en-CA"/>
        </w:rPr>
        <w:t>.</w:t>
      </w:r>
      <w:r w:rsidR="00EB41C9">
        <w:rPr>
          <w:szCs w:val="22"/>
          <w:lang w:val="en-CA"/>
        </w:rPr>
        <w:t xml:space="preserve"> In </w:t>
      </w:r>
      <w:r w:rsidR="001B039F">
        <w:rPr>
          <w:szCs w:val="22"/>
          <w:lang w:val="en-CA"/>
        </w:rPr>
        <w:t xml:space="preserve">sum, these </w:t>
      </w:r>
      <w:r w:rsidR="00EB41C9">
        <w:rPr>
          <w:szCs w:val="22"/>
          <w:lang w:val="en-CA"/>
        </w:rPr>
        <w:t xml:space="preserve">findings </w:t>
      </w:r>
      <w:r w:rsidR="001E175D">
        <w:rPr>
          <w:szCs w:val="22"/>
          <w:lang w:val="en-CA"/>
        </w:rPr>
        <w:t xml:space="preserve">provide empirical support for the importance of </w:t>
      </w:r>
      <w:r w:rsidR="00342FFF">
        <w:rPr>
          <w:szCs w:val="22"/>
          <w:lang w:val="en-CA"/>
        </w:rPr>
        <w:t xml:space="preserve">psychosocial </w:t>
      </w:r>
      <w:r w:rsidR="001E175D">
        <w:rPr>
          <w:szCs w:val="22"/>
          <w:lang w:val="en-CA"/>
        </w:rPr>
        <w:t xml:space="preserve">variables in the science classroom, highlighting the need for instructional methods and interventions </w:t>
      </w:r>
      <w:r w:rsidR="00342FFF">
        <w:rPr>
          <w:szCs w:val="22"/>
          <w:lang w:val="en-CA"/>
        </w:rPr>
        <w:t>that promote critical aspects of student motivation (i.e., mastery, autonomy, competence</w:t>
      </w:r>
      <w:r w:rsidR="00B13B41">
        <w:rPr>
          <w:szCs w:val="22"/>
          <w:lang w:val="en-CA"/>
        </w:rPr>
        <w:t xml:space="preserve">) and in turn, </w:t>
      </w:r>
      <w:r w:rsidR="00342FFF">
        <w:rPr>
          <w:szCs w:val="22"/>
          <w:lang w:val="en-CA"/>
        </w:rPr>
        <w:t xml:space="preserve">emotional adjustment, achievement, as well as persistence </w:t>
      </w:r>
      <w:r w:rsidR="00CC4597">
        <w:rPr>
          <w:szCs w:val="22"/>
          <w:lang w:val="en-CA"/>
        </w:rPr>
        <w:t xml:space="preserve">for students </w:t>
      </w:r>
      <w:r w:rsidR="00342FFF">
        <w:rPr>
          <w:szCs w:val="22"/>
          <w:lang w:val="en-CA"/>
        </w:rPr>
        <w:t xml:space="preserve">in STEM disciplines. </w:t>
      </w:r>
    </w:p>
    <w:p w14:paraId="240B7551" w14:textId="77777777" w:rsidR="00030275" w:rsidRDefault="00030275">
      <w:pPr>
        <w:rPr>
          <w:b/>
          <w:bCs/>
          <w:iCs/>
        </w:rPr>
      </w:pPr>
      <w:r>
        <w:rPr>
          <w:b/>
          <w:bCs/>
          <w:iCs/>
        </w:rPr>
        <w:br w:type="page"/>
      </w:r>
    </w:p>
    <w:p w14:paraId="1B7B49F8" w14:textId="3A09C65B" w:rsidR="00947794" w:rsidRPr="00030275" w:rsidRDefault="00947794" w:rsidP="00030275">
      <w:pPr>
        <w:contextualSpacing/>
        <w:jc w:val="center"/>
        <w:rPr>
          <w:b/>
        </w:rPr>
      </w:pPr>
      <w:r w:rsidRPr="00030275">
        <w:rPr>
          <w:b/>
          <w:bCs/>
          <w:iCs/>
        </w:rPr>
        <w:lastRenderedPageBreak/>
        <w:t>References</w:t>
      </w:r>
    </w:p>
    <w:p w14:paraId="1FF155E2" w14:textId="54A824B9" w:rsidR="00947794" w:rsidRDefault="00947794" w:rsidP="00030275">
      <w:pPr>
        <w:pStyle w:val="Header"/>
        <w:tabs>
          <w:tab w:val="clear" w:pos="4320"/>
          <w:tab w:val="clear" w:pos="8640"/>
        </w:tabs>
        <w:contextualSpacing/>
        <w:rPr>
          <w:lang w:val="en-US"/>
        </w:rPr>
      </w:pPr>
      <w:proofErr w:type="spellStart"/>
      <w:proofErr w:type="gramStart"/>
      <w:r>
        <w:rPr>
          <w:lang w:val="en-US"/>
        </w:rPr>
        <w:t>Assor</w:t>
      </w:r>
      <w:proofErr w:type="spellEnd"/>
      <w:r>
        <w:rPr>
          <w:lang w:val="en-US"/>
        </w:rPr>
        <w:t xml:space="preserve">, A., Kaplan, H., </w:t>
      </w:r>
      <w:proofErr w:type="spellStart"/>
      <w:r>
        <w:rPr>
          <w:lang w:val="en-US"/>
        </w:rPr>
        <w:t>Kanat</w:t>
      </w:r>
      <w:r w:rsidR="00AA113A">
        <w:rPr>
          <w:lang w:val="en-US"/>
        </w:rPr>
        <w:t>-</w:t>
      </w:r>
      <w:r>
        <w:rPr>
          <w:lang w:val="en-US"/>
        </w:rPr>
        <w:t>Maymon</w:t>
      </w:r>
      <w:proofErr w:type="spellEnd"/>
      <w:r>
        <w:rPr>
          <w:lang w:val="en-US"/>
        </w:rPr>
        <w:t>, Y., &amp; Roth, G. (2005).</w:t>
      </w:r>
      <w:proofErr w:type="gramEnd"/>
      <w:r>
        <w:rPr>
          <w:lang w:val="en-US"/>
        </w:rPr>
        <w:t xml:space="preserve"> Directly controlling </w:t>
      </w:r>
    </w:p>
    <w:p w14:paraId="087894E6" w14:textId="51959E94" w:rsidR="00947794" w:rsidRDefault="00947794" w:rsidP="00030275">
      <w:pPr>
        <w:ind w:left="720"/>
        <w:contextualSpacing/>
      </w:pPr>
      <w:proofErr w:type="gramStart"/>
      <w:r>
        <w:t>teacher</w:t>
      </w:r>
      <w:proofErr w:type="gramEnd"/>
      <w:r>
        <w:t xml:space="preserve"> behaviors as predictors of poor motivation and engagement in girls and boys: The role of anger and anxiety. </w:t>
      </w:r>
      <w:r>
        <w:rPr>
          <w:i/>
          <w:iCs/>
        </w:rPr>
        <w:t>Learning and Instruction, 15</w:t>
      </w:r>
      <w:r>
        <w:t>, 397</w:t>
      </w:r>
      <w:r w:rsidR="00075DC3" w:rsidRPr="00D71037">
        <w:rPr>
          <w:lang w:val="en-CA"/>
        </w:rPr>
        <w:t>–</w:t>
      </w:r>
      <w:r>
        <w:t>413.</w:t>
      </w:r>
    </w:p>
    <w:p w14:paraId="2FFBBCA5" w14:textId="7FB573A5" w:rsidR="00075DC3" w:rsidRPr="003A4085" w:rsidRDefault="00075DC3" w:rsidP="00030275">
      <w:pPr>
        <w:pStyle w:val="CommentText"/>
        <w:ind w:left="720" w:hanging="720"/>
        <w:contextualSpacing/>
      </w:pPr>
      <w:proofErr w:type="gramStart"/>
      <w:r w:rsidRPr="00D71037">
        <w:rPr>
          <w:sz w:val="24"/>
          <w:szCs w:val="24"/>
        </w:rPr>
        <w:t>AUCC (The Association of Universities and Colleges of Canada).</w:t>
      </w:r>
      <w:proofErr w:type="gramEnd"/>
      <w:r w:rsidRPr="00D71037">
        <w:rPr>
          <w:sz w:val="24"/>
          <w:szCs w:val="24"/>
        </w:rPr>
        <w:t xml:space="preserve"> (2011). </w:t>
      </w:r>
      <w:r w:rsidRPr="00D71037">
        <w:rPr>
          <w:i/>
          <w:sz w:val="24"/>
          <w:szCs w:val="24"/>
        </w:rPr>
        <w:t>Trends in higher education: Volume 1 – Enrolment.</w:t>
      </w:r>
      <w:r w:rsidRPr="00D71037">
        <w:rPr>
          <w:sz w:val="24"/>
          <w:szCs w:val="24"/>
        </w:rPr>
        <w:t xml:space="preserve"> Ottawa, Canada: Author.</w:t>
      </w:r>
    </w:p>
    <w:p w14:paraId="1843B2B0" w14:textId="690F33DB" w:rsidR="005D59DB" w:rsidRPr="00CD0241" w:rsidRDefault="005B744F" w:rsidP="00030275">
      <w:pPr>
        <w:pStyle w:val="CommentText"/>
        <w:ind w:left="720" w:hanging="720"/>
        <w:contextualSpacing/>
        <w:rPr>
          <w:lang w:val="fr-CA"/>
        </w:rPr>
      </w:pPr>
      <w:proofErr w:type="spellStart"/>
      <w:r w:rsidRPr="005B744F">
        <w:rPr>
          <w:sz w:val="24"/>
          <w:szCs w:val="24"/>
          <w:lang w:val="fr-CA"/>
        </w:rPr>
        <w:t>Baillargeon</w:t>
      </w:r>
      <w:proofErr w:type="spellEnd"/>
      <w:r w:rsidRPr="005B744F">
        <w:rPr>
          <w:sz w:val="24"/>
          <w:szCs w:val="24"/>
          <w:lang w:val="fr-CA"/>
        </w:rPr>
        <w:t>, G., M.</w:t>
      </w:r>
      <w:r w:rsidR="005D59DB">
        <w:rPr>
          <w:sz w:val="24"/>
          <w:szCs w:val="24"/>
          <w:lang w:val="fr-CA"/>
        </w:rPr>
        <w:t>,</w:t>
      </w:r>
      <w:r w:rsidRPr="005B744F">
        <w:rPr>
          <w:sz w:val="24"/>
          <w:szCs w:val="24"/>
          <w:lang w:val="fr-CA"/>
        </w:rPr>
        <w:t xml:space="preserve"> Demers, P.</w:t>
      </w:r>
      <w:r w:rsidR="005D59DB">
        <w:rPr>
          <w:sz w:val="24"/>
          <w:szCs w:val="24"/>
          <w:lang w:val="fr-CA"/>
        </w:rPr>
        <w:t>,</w:t>
      </w:r>
      <w:r w:rsidRPr="005B744F">
        <w:rPr>
          <w:sz w:val="24"/>
          <w:szCs w:val="24"/>
          <w:lang w:val="fr-CA"/>
        </w:rPr>
        <w:t xml:space="preserve"> Ducharme, D.</w:t>
      </w:r>
      <w:r w:rsidR="005D59DB">
        <w:rPr>
          <w:sz w:val="24"/>
          <w:szCs w:val="24"/>
          <w:lang w:val="fr-CA"/>
        </w:rPr>
        <w:t>,</w:t>
      </w:r>
      <w:r w:rsidRPr="005B744F">
        <w:rPr>
          <w:sz w:val="24"/>
          <w:szCs w:val="24"/>
          <w:lang w:val="fr-CA"/>
        </w:rPr>
        <w:t xml:space="preserve"> Foucault, J.</w:t>
      </w:r>
      <w:r w:rsidR="005D59DB">
        <w:rPr>
          <w:sz w:val="24"/>
          <w:szCs w:val="24"/>
          <w:lang w:val="fr-CA"/>
        </w:rPr>
        <w:t>,</w:t>
      </w:r>
      <w:r w:rsidRPr="005B744F">
        <w:rPr>
          <w:sz w:val="24"/>
          <w:szCs w:val="24"/>
          <w:lang w:val="fr-CA"/>
        </w:rPr>
        <w:t xml:space="preserve"> Lavigne,</w:t>
      </w:r>
      <w:r w:rsidR="005D59DB">
        <w:rPr>
          <w:sz w:val="24"/>
          <w:szCs w:val="24"/>
          <w:lang w:val="fr-CA"/>
        </w:rPr>
        <w:t xml:space="preserve"> </w:t>
      </w:r>
      <w:r w:rsidRPr="005B744F">
        <w:rPr>
          <w:sz w:val="24"/>
          <w:szCs w:val="24"/>
          <w:lang w:val="fr-CA"/>
        </w:rPr>
        <w:t>A.</w:t>
      </w:r>
      <w:r w:rsidR="005D59DB">
        <w:rPr>
          <w:sz w:val="24"/>
          <w:szCs w:val="24"/>
          <w:lang w:val="fr-CA"/>
        </w:rPr>
        <w:t>,</w:t>
      </w:r>
      <w:r w:rsidRPr="005B744F">
        <w:rPr>
          <w:sz w:val="24"/>
          <w:szCs w:val="24"/>
          <w:lang w:val="fr-CA"/>
        </w:rPr>
        <w:t xml:space="preserve"> </w:t>
      </w:r>
      <w:proofErr w:type="spellStart"/>
      <w:r w:rsidRPr="005B744F">
        <w:rPr>
          <w:sz w:val="24"/>
          <w:szCs w:val="24"/>
          <w:lang w:val="fr-CA"/>
        </w:rPr>
        <w:t>Lespérance</w:t>
      </w:r>
      <w:proofErr w:type="spellEnd"/>
      <w:r w:rsidRPr="005B744F">
        <w:rPr>
          <w:sz w:val="24"/>
          <w:szCs w:val="24"/>
          <w:lang w:val="fr-CA"/>
        </w:rPr>
        <w:t>, S.</w:t>
      </w:r>
      <w:r w:rsidR="005D59DB">
        <w:rPr>
          <w:sz w:val="24"/>
          <w:szCs w:val="24"/>
          <w:lang w:val="fr-CA"/>
        </w:rPr>
        <w:t>,</w:t>
      </w:r>
      <w:r w:rsidR="00C851BE">
        <w:rPr>
          <w:sz w:val="24"/>
          <w:szCs w:val="24"/>
          <w:lang w:val="fr-CA"/>
        </w:rPr>
        <w:t xml:space="preserve"> . . . </w:t>
      </w:r>
      <w:r w:rsidRPr="005B744F">
        <w:rPr>
          <w:sz w:val="24"/>
          <w:szCs w:val="24"/>
          <w:lang w:val="fr-CA"/>
        </w:rPr>
        <w:t>A. Vigneault (2001).</w:t>
      </w:r>
      <w:r w:rsidR="005D59DB">
        <w:rPr>
          <w:sz w:val="24"/>
          <w:szCs w:val="24"/>
          <w:lang w:val="fr-CA"/>
        </w:rPr>
        <w:t xml:space="preserve"> </w:t>
      </w:r>
      <w:proofErr w:type="spellStart"/>
      <w:r w:rsidR="005D59DB">
        <w:rPr>
          <w:i/>
          <w:iCs/>
          <w:sz w:val="24"/>
          <w:szCs w:val="24"/>
          <w:lang w:val="fr-CA"/>
        </w:rPr>
        <w:t>Education</w:t>
      </w:r>
      <w:proofErr w:type="spellEnd"/>
      <w:r w:rsidR="005D59DB">
        <w:rPr>
          <w:i/>
          <w:iCs/>
          <w:sz w:val="24"/>
          <w:szCs w:val="24"/>
          <w:lang w:val="fr-CA"/>
        </w:rPr>
        <w:t xml:space="preserve"> </w:t>
      </w:r>
      <w:proofErr w:type="spellStart"/>
      <w:r w:rsidR="005D59DB">
        <w:rPr>
          <w:i/>
          <w:iCs/>
          <w:sz w:val="24"/>
          <w:szCs w:val="24"/>
          <w:lang w:val="fr-CA"/>
        </w:rPr>
        <w:t>Indicators</w:t>
      </w:r>
      <w:proofErr w:type="spellEnd"/>
      <w:r w:rsidR="005D59DB">
        <w:rPr>
          <w:i/>
          <w:iCs/>
          <w:sz w:val="24"/>
          <w:szCs w:val="24"/>
          <w:lang w:val="fr-CA"/>
        </w:rPr>
        <w:t>, 2001 E</w:t>
      </w:r>
      <w:r w:rsidRPr="00CD0241">
        <w:rPr>
          <w:i/>
          <w:iCs/>
          <w:sz w:val="24"/>
          <w:szCs w:val="24"/>
          <w:lang w:val="fr-CA"/>
        </w:rPr>
        <w:t>dition</w:t>
      </w:r>
      <w:r w:rsidRPr="00CD0241">
        <w:rPr>
          <w:sz w:val="24"/>
          <w:szCs w:val="24"/>
          <w:lang w:val="fr-CA"/>
        </w:rPr>
        <w:t>. Québec City</w:t>
      </w:r>
      <w:r w:rsidR="005D59DB">
        <w:rPr>
          <w:sz w:val="24"/>
          <w:szCs w:val="24"/>
          <w:lang w:val="fr-CA"/>
        </w:rPr>
        <w:t>, Canada</w:t>
      </w:r>
      <w:r w:rsidRPr="00CD0241">
        <w:rPr>
          <w:sz w:val="24"/>
          <w:szCs w:val="24"/>
          <w:lang w:val="fr-CA"/>
        </w:rPr>
        <w:t>: Ministère de l’Éducation, Gouvernement</w:t>
      </w:r>
      <w:r w:rsidR="005D59DB">
        <w:rPr>
          <w:sz w:val="24"/>
          <w:szCs w:val="24"/>
          <w:lang w:val="fr-CA"/>
        </w:rPr>
        <w:t xml:space="preserve"> </w:t>
      </w:r>
      <w:r w:rsidRPr="00CD0241">
        <w:rPr>
          <w:sz w:val="24"/>
          <w:szCs w:val="24"/>
          <w:lang w:val="fr-CA"/>
        </w:rPr>
        <w:t>du Québec.</w:t>
      </w:r>
    </w:p>
    <w:p w14:paraId="4B8DF8C1" w14:textId="77777777" w:rsidR="00947794" w:rsidRPr="005B744F" w:rsidRDefault="00947794" w:rsidP="00030275">
      <w:pPr>
        <w:contextualSpacing/>
      </w:pPr>
      <w:r w:rsidRPr="005B744F">
        <w:t xml:space="preserve">Bandura, A. (1986). </w:t>
      </w:r>
      <w:r w:rsidRPr="005B744F">
        <w:rPr>
          <w:i/>
          <w:iCs/>
        </w:rPr>
        <w:t>Social foundations of thought and action: A social cognitive theory</w:t>
      </w:r>
      <w:r w:rsidRPr="005B744F">
        <w:t xml:space="preserve">. </w:t>
      </w:r>
    </w:p>
    <w:p w14:paraId="208CE23A" w14:textId="72441731" w:rsidR="00947794" w:rsidRDefault="00947794" w:rsidP="00030275">
      <w:pPr>
        <w:ind w:firstLine="720"/>
        <w:contextualSpacing/>
      </w:pPr>
      <w:r>
        <w:t>Englewood Cliffs, NJ: Prentice</w:t>
      </w:r>
      <w:r w:rsidR="00AA113A">
        <w:t>-</w:t>
      </w:r>
      <w:r>
        <w:t>Hall.</w:t>
      </w:r>
    </w:p>
    <w:p w14:paraId="57CF83F1" w14:textId="393AB95F" w:rsidR="00947794" w:rsidRPr="008947F1" w:rsidRDefault="00947794" w:rsidP="00030275">
      <w:pPr>
        <w:pStyle w:val="BodyText"/>
        <w:spacing w:after="0"/>
        <w:contextualSpacing/>
        <w:rPr>
          <w:bCs/>
        </w:rPr>
      </w:pPr>
      <w:r w:rsidRPr="008947F1">
        <w:rPr>
          <w:bCs/>
        </w:rPr>
        <w:t xml:space="preserve">Bandura, A. (1997). </w:t>
      </w:r>
      <w:r w:rsidRPr="008947F1">
        <w:rPr>
          <w:bCs/>
          <w:i/>
          <w:iCs/>
        </w:rPr>
        <w:t>Self</w:t>
      </w:r>
      <w:r w:rsidR="00AA113A">
        <w:rPr>
          <w:bCs/>
          <w:i/>
          <w:iCs/>
        </w:rPr>
        <w:t>-</w:t>
      </w:r>
      <w:r w:rsidRPr="008947F1">
        <w:rPr>
          <w:bCs/>
          <w:i/>
          <w:iCs/>
        </w:rPr>
        <w:t xml:space="preserve">efficacy: The exercise of control. </w:t>
      </w:r>
      <w:r w:rsidRPr="008947F1">
        <w:rPr>
          <w:bCs/>
        </w:rPr>
        <w:t>New York: Freeman.</w:t>
      </w:r>
    </w:p>
    <w:p w14:paraId="61618590" w14:textId="1D682079" w:rsidR="00947794" w:rsidRDefault="00947794" w:rsidP="00030275">
      <w:pPr>
        <w:ind w:left="720" w:hanging="720"/>
        <w:contextualSpacing/>
      </w:pPr>
      <w:proofErr w:type="spellStart"/>
      <w:proofErr w:type="gramStart"/>
      <w:r>
        <w:t>Beaman</w:t>
      </w:r>
      <w:proofErr w:type="spellEnd"/>
      <w:r>
        <w:t xml:space="preserve">, R., </w:t>
      </w:r>
      <w:proofErr w:type="spellStart"/>
      <w:r>
        <w:t>Wheldall</w:t>
      </w:r>
      <w:proofErr w:type="spellEnd"/>
      <w:r>
        <w:t>, K., &amp; Kemp, C. (2006).</w:t>
      </w:r>
      <w:proofErr w:type="gramEnd"/>
      <w:r>
        <w:t xml:space="preserve"> </w:t>
      </w:r>
      <w:proofErr w:type="gramStart"/>
      <w:r>
        <w:t>Differential teacher attention to boys and girls in the classroom.</w:t>
      </w:r>
      <w:proofErr w:type="gramEnd"/>
      <w:r>
        <w:t xml:space="preserve"> </w:t>
      </w:r>
      <w:r>
        <w:rPr>
          <w:i/>
          <w:iCs/>
        </w:rPr>
        <w:t>Educational Review, 58,</w:t>
      </w:r>
      <w:r>
        <w:t xml:space="preserve"> 339</w:t>
      </w:r>
      <w:r w:rsidR="00075DC3" w:rsidRPr="00D71037">
        <w:rPr>
          <w:lang w:val="en-CA"/>
        </w:rPr>
        <w:t>–</w:t>
      </w:r>
      <w:r>
        <w:t>366.</w:t>
      </w:r>
    </w:p>
    <w:p w14:paraId="754DBDF3" w14:textId="77777777" w:rsidR="00947794" w:rsidRDefault="00947794" w:rsidP="00030275">
      <w:pPr>
        <w:pStyle w:val="Footer"/>
        <w:tabs>
          <w:tab w:val="clear" w:pos="4320"/>
          <w:tab w:val="clear" w:pos="8640"/>
        </w:tabs>
        <w:contextualSpacing/>
      </w:pPr>
      <w:proofErr w:type="spellStart"/>
      <w:proofErr w:type="gramStart"/>
      <w:r>
        <w:t>Benbow</w:t>
      </w:r>
      <w:proofErr w:type="spellEnd"/>
      <w:r>
        <w:t>, C. P., &amp; Stanley, J. C. (1982).</w:t>
      </w:r>
      <w:proofErr w:type="gramEnd"/>
      <w:r>
        <w:t xml:space="preserve"> Consequences in high school and college of sex </w:t>
      </w:r>
    </w:p>
    <w:p w14:paraId="427D0EE9" w14:textId="3EB295F4" w:rsidR="00947794" w:rsidRDefault="00947794" w:rsidP="00030275">
      <w:pPr>
        <w:ind w:left="720"/>
        <w:contextualSpacing/>
      </w:pPr>
      <w:proofErr w:type="gramStart"/>
      <w:r>
        <w:t>differences</w:t>
      </w:r>
      <w:proofErr w:type="gramEnd"/>
      <w:r>
        <w:t xml:space="preserve"> in mathematical reasoning ability: A longitudinal perspective. </w:t>
      </w:r>
      <w:r>
        <w:rPr>
          <w:i/>
          <w:iCs/>
        </w:rPr>
        <w:t xml:space="preserve">American Educational Research Journal, 19, </w:t>
      </w:r>
      <w:r>
        <w:t>598</w:t>
      </w:r>
      <w:r w:rsidR="00075DC3" w:rsidRPr="00D71037">
        <w:rPr>
          <w:lang w:val="en-CA"/>
        </w:rPr>
        <w:t>–</w:t>
      </w:r>
      <w:r>
        <w:t>622.</w:t>
      </w:r>
    </w:p>
    <w:p w14:paraId="0AF30F53" w14:textId="77777777" w:rsidR="00947794" w:rsidRDefault="00947794" w:rsidP="00030275">
      <w:pPr>
        <w:contextualSpacing/>
        <w:rPr>
          <w:i/>
          <w:iCs/>
        </w:rPr>
      </w:pPr>
      <w:proofErr w:type="spellStart"/>
      <w:r>
        <w:t>Brophy</w:t>
      </w:r>
      <w:proofErr w:type="spellEnd"/>
      <w:r>
        <w:t xml:space="preserve">, J. (2005). Goal theorists should move on from performance goals. </w:t>
      </w:r>
      <w:r>
        <w:rPr>
          <w:i/>
          <w:iCs/>
        </w:rPr>
        <w:t xml:space="preserve">Educational </w:t>
      </w:r>
    </w:p>
    <w:p w14:paraId="299F9BA6" w14:textId="6A83731E" w:rsidR="00947794" w:rsidRDefault="00947794" w:rsidP="00030275">
      <w:pPr>
        <w:ind w:firstLine="720"/>
        <w:contextualSpacing/>
      </w:pPr>
      <w:r>
        <w:rPr>
          <w:i/>
          <w:iCs/>
        </w:rPr>
        <w:t>Psychologist, 40</w:t>
      </w:r>
      <w:r>
        <w:t>, 167</w:t>
      </w:r>
      <w:r w:rsidR="00075DC3" w:rsidRPr="00D71037">
        <w:rPr>
          <w:lang w:val="en-CA"/>
        </w:rPr>
        <w:t>–</w:t>
      </w:r>
      <w:r>
        <w:t>176.</w:t>
      </w:r>
    </w:p>
    <w:p w14:paraId="4DEA26C9" w14:textId="77777777" w:rsidR="00947794" w:rsidRDefault="00947794" w:rsidP="00030275">
      <w:pPr>
        <w:contextualSpacing/>
      </w:pPr>
      <w:r>
        <w:t xml:space="preserve">Byrne, B. M. (2001). Structural equation modeling with EQS and EQS/Windows: Basic </w:t>
      </w:r>
    </w:p>
    <w:p w14:paraId="2ADED852" w14:textId="77777777" w:rsidR="00947794" w:rsidRDefault="00947794" w:rsidP="00030275">
      <w:pPr>
        <w:pStyle w:val="BodyTextIndent2"/>
        <w:spacing w:after="0" w:line="240" w:lineRule="auto"/>
        <w:ind w:left="720"/>
        <w:contextualSpacing/>
      </w:pPr>
      <w:proofErr w:type="gramStart"/>
      <w:r>
        <w:t>concepts</w:t>
      </w:r>
      <w:proofErr w:type="gramEnd"/>
      <w:r>
        <w:t>, application and programming. Mahwah, NJ: Erlbaum.</w:t>
      </w:r>
    </w:p>
    <w:p w14:paraId="67A569E9" w14:textId="1D2662BA" w:rsidR="00075DC3" w:rsidRPr="00D71037" w:rsidRDefault="00075DC3" w:rsidP="00030275">
      <w:pPr>
        <w:autoSpaceDE w:val="0"/>
        <w:autoSpaceDN w:val="0"/>
        <w:adjustRightInd w:val="0"/>
        <w:ind w:left="720" w:hanging="720"/>
        <w:contextualSpacing/>
      </w:pPr>
      <w:proofErr w:type="spellStart"/>
      <w:proofErr w:type="gramStart"/>
      <w:r w:rsidRPr="00D71037">
        <w:t>Ceci</w:t>
      </w:r>
      <w:proofErr w:type="spellEnd"/>
      <w:r w:rsidRPr="00D71037">
        <w:t>, S. J., &amp; Williams, W. M. (2010).</w:t>
      </w:r>
      <w:proofErr w:type="gramEnd"/>
      <w:r w:rsidRPr="00D71037">
        <w:t xml:space="preserve"> </w:t>
      </w:r>
      <w:proofErr w:type="gramStart"/>
      <w:r w:rsidRPr="00D71037">
        <w:t>Sex differences in math</w:t>
      </w:r>
      <w:r w:rsidR="00AA113A">
        <w:t>-</w:t>
      </w:r>
      <w:r w:rsidRPr="00D71037">
        <w:t>intensive fields.</w:t>
      </w:r>
      <w:proofErr w:type="gramEnd"/>
      <w:r w:rsidRPr="00D71037">
        <w:t xml:space="preserve"> </w:t>
      </w:r>
      <w:r w:rsidRPr="00CD0241">
        <w:rPr>
          <w:i/>
        </w:rPr>
        <w:t>Current Directions in Psychological Science,</w:t>
      </w:r>
      <w:r>
        <w:rPr>
          <w:i/>
        </w:rPr>
        <w:t xml:space="preserve"> </w:t>
      </w:r>
      <w:r w:rsidRPr="00CD0241">
        <w:rPr>
          <w:i/>
        </w:rPr>
        <w:t>19</w:t>
      </w:r>
      <w:r w:rsidRPr="00D71037">
        <w:t>, 275</w:t>
      </w:r>
      <w:r w:rsidRPr="00D71037">
        <w:rPr>
          <w:lang w:val="en-CA"/>
        </w:rPr>
        <w:t>–</w:t>
      </w:r>
      <w:r>
        <w:rPr>
          <w:lang w:val="en-CA"/>
        </w:rPr>
        <w:t>279</w:t>
      </w:r>
      <w:r w:rsidRPr="00D71037">
        <w:t>.</w:t>
      </w:r>
    </w:p>
    <w:p w14:paraId="367AE418" w14:textId="77777777" w:rsidR="00C87576" w:rsidRPr="00D71037" w:rsidRDefault="00C87576" w:rsidP="00030275">
      <w:pPr>
        <w:ind w:left="720" w:hanging="720"/>
        <w:contextualSpacing/>
      </w:pPr>
      <w:proofErr w:type="gramStart"/>
      <w:r w:rsidRPr="00D71037">
        <w:t>Chen, X. (2013).</w:t>
      </w:r>
      <w:proofErr w:type="gramEnd"/>
      <w:r w:rsidRPr="00D71037">
        <w:t xml:space="preserve"> STEM attrition: College students' paths into and out of STEM fields. </w:t>
      </w:r>
      <w:proofErr w:type="gramStart"/>
      <w:r w:rsidRPr="00D71037">
        <w:rPr>
          <w:i/>
        </w:rPr>
        <w:t>National Center for Education Statistics, Institute of Education Sciences (NCES 2014-001).</w:t>
      </w:r>
      <w:proofErr w:type="gramEnd"/>
      <w:r w:rsidRPr="00D71037">
        <w:t xml:space="preserve"> Washington, DC: U.S. Department of Education.</w:t>
      </w:r>
    </w:p>
    <w:p w14:paraId="7EA4C46F" w14:textId="77777777" w:rsidR="00C87576" w:rsidRPr="00D71037" w:rsidRDefault="00C87576" w:rsidP="00030275">
      <w:pPr>
        <w:autoSpaceDE w:val="0"/>
        <w:autoSpaceDN w:val="0"/>
        <w:adjustRightInd w:val="0"/>
        <w:ind w:left="720" w:hanging="720"/>
        <w:contextualSpacing/>
      </w:pPr>
      <w:proofErr w:type="spellStart"/>
      <w:proofErr w:type="gramStart"/>
      <w:r w:rsidRPr="00D71037">
        <w:t>Cheryan</w:t>
      </w:r>
      <w:proofErr w:type="spellEnd"/>
      <w:r w:rsidRPr="00D71037">
        <w:t>, S. (2012).</w:t>
      </w:r>
      <w:proofErr w:type="gramEnd"/>
      <w:r w:rsidRPr="00D71037">
        <w:t xml:space="preserve"> Understanding the paradox in math-related fields: Why do some gender gaps remain while others do not? </w:t>
      </w:r>
      <w:r w:rsidRPr="00CD0241">
        <w:rPr>
          <w:i/>
        </w:rPr>
        <w:t>Sex Roles, 66</w:t>
      </w:r>
      <w:r w:rsidRPr="00D71037">
        <w:t>, 184–190.</w:t>
      </w:r>
    </w:p>
    <w:p w14:paraId="719F617A" w14:textId="77777777" w:rsidR="00947794" w:rsidRDefault="00947794" w:rsidP="00030275">
      <w:pPr>
        <w:contextualSpacing/>
      </w:pPr>
      <w:proofErr w:type="gramStart"/>
      <w:r>
        <w:t>Church, M. A., Elliot, A. J., &amp; Gable, S. L. (2001).</w:t>
      </w:r>
      <w:proofErr w:type="gramEnd"/>
      <w:r>
        <w:t xml:space="preserve"> Perceptions of classroom </w:t>
      </w:r>
    </w:p>
    <w:p w14:paraId="0A6B7EA2" w14:textId="1AECDF34" w:rsidR="00947794" w:rsidRDefault="00947794" w:rsidP="00030275">
      <w:pPr>
        <w:ind w:left="720"/>
        <w:contextualSpacing/>
      </w:pPr>
      <w:proofErr w:type="gramStart"/>
      <w:r>
        <w:t>environment</w:t>
      </w:r>
      <w:proofErr w:type="gramEnd"/>
      <w:r>
        <w:t xml:space="preserve">, achievement goals, and achievement outcomes. </w:t>
      </w:r>
      <w:r>
        <w:rPr>
          <w:i/>
          <w:iCs/>
        </w:rPr>
        <w:t>Journal of Educational Psychology</w:t>
      </w:r>
      <w:r>
        <w:t xml:space="preserve">, </w:t>
      </w:r>
      <w:r>
        <w:rPr>
          <w:i/>
          <w:iCs/>
        </w:rPr>
        <w:t>93</w:t>
      </w:r>
      <w:r>
        <w:t>, 43</w:t>
      </w:r>
      <w:r w:rsidR="00075DC3" w:rsidRPr="00D71037">
        <w:rPr>
          <w:lang w:val="en-CA"/>
        </w:rPr>
        <w:t>–</w:t>
      </w:r>
      <w:r>
        <w:t>54.</w:t>
      </w:r>
    </w:p>
    <w:p w14:paraId="4218632D" w14:textId="77777777" w:rsidR="00947794" w:rsidRDefault="000F5351" w:rsidP="00030275">
      <w:pPr>
        <w:contextualSpacing/>
      </w:pPr>
      <w:proofErr w:type="spellStart"/>
      <w:r>
        <w:t>Daempfle</w:t>
      </w:r>
      <w:proofErr w:type="spellEnd"/>
      <w:r>
        <w:t>, P. A. (2003</w:t>
      </w:r>
      <w:r w:rsidR="00947794">
        <w:t xml:space="preserve">). An analysis of the high attrition rates among first year college </w:t>
      </w:r>
    </w:p>
    <w:p w14:paraId="3CA194CF" w14:textId="0E787C70" w:rsidR="00947794" w:rsidRDefault="00947794" w:rsidP="00030275">
      <w:pPr>
        <w:ind w:left="720"/>
        <w:contextualSpacing/>
      </w:pPr>
      <w:proofErr w:type="gramStart"/>
      <w:r>
        <w:t>science</w:t>
      </w:r>
      <w:proofErr w:type="gramEnd"/>
      <w:r>
        <w:t xml:space="preserve">, math and engineering majors. </w:t>
      </w:r>
      <w:proofErr w:type="gramStart"/>
      <w:r>
        <w:rPr>
          <w:i/>
          <w:iCs/>
        </w:rPr>
        <w:t>Journal of College Student Retention.</w:t>
      </w:r>
      <w:proofErr w:type="gramEnd"/>
      <w:r>
        <w:rPr>
          <w:i/>
          <w:iCs/>
        </w:rPr>
        <w:t xml:space="preserve"> 5</w:t>
      </w:r>
      <w:r>
        <w:t>, 37</w:t>
      </w:r>
      <w:r w:rsidR="00075DC3" w:rsidRPr="00D71037">
        <w:rPr>
          <w:lang w:val="en-CA"/>
        </w:rPr>
        <w:t>–</w:t>
      </w:r>
      <w:r>
        <w:t>52.</w:t>
      </w:r>
    </w:p>
    <w:p w14:paraId="5B7BF46C" w14:textId="77777777" w:rsidR="0039235F" w:rsidRPr="00D71037" w:rsidRDefault="0039235F" w:rsidP="00030275">
      <w:pPr>
        <w:pStyle w:val="CommentText"/>
        <w:ind w:left="720" w:hanging="720"/>
        <w:contextualSpacing/>
        <w:rPr>
          <w:sz w:val="24"/>
          <w:szCs w:val="24"/>
        </w:rPr>
      </w:pPr>
      <w:proofErr w:type="spellStart"/>
      <w:proofErr w:type="gramStart"/>
      <w:r w:rsidRPr="00D71037">
        <w:rPr>
          <w:sz w:val="24"/>
          <w:szCs w:val="24"/>
        </w:rPr>
        <w:t>Deci</w:t>
      </w:r>
      <w:proofErr w:type="spellEnd"/>
      <w:r w:rsidRPr="00D71037">
        <w:rPr>
          <w:sz w:val="24"/>
          <w:szCs w:val="24"/>
        </w:rPr>
        <w:t>, E. L., &amp; Ryan, R. M. (2012).</w:t>
      </w:r>
      <w:proofErr w:type="gramEnd"/>
      <w:r w:rsidRPr="00D71037">
        <w:rPr>
          <w:sz w:val="24"/>
          <w:szCs w:val="24"/>
        </w:rPr>
        <w:t xml:space="preserve"> </w:t>
      </w:r>
      <w:proofErr w:type="gramStart"/>
      <w:r w:rsidRPr="00D71037">
        <w:rPr>
          <w:sz w:val="24"/>
          <w:szCs w:val="24"/>
        </w:rPr>
        <w:t>Self-determination theory.</w:t>
      </w:r>
      <w:proofErr w:type="gramEnd"/>
      <w:r w:rsidRPr="00D71037">
        <w:rPr>
          <w:sz w:val="24"/>
          <w:szCs w:val="24"/>
        </w:rPr>
        <w:t xml:space="preserve"> In  P. A. M. Van Lange, A. W. </w:t>
      </w:r>
      <w:proofErr w:type="spellStart"/>
      <w:r w:rsidRPr="00D71037">
        <w:rPr>
          <w:sz w:val="24"/>
          <w:szCs w:val="24"/>
        </w:rPr>
        <w:t>Kruglanski</w:t>
      </w:r>
      <w:proofErr w:type="spellEnd"/>
      <w:r w:rsidRPr="00D71037">
        <w:rPr>
          <w:sz w:val="24"/>
          <w:szCs w:val="24"/>
        </w:rPr>
        <w:t>, &amp; E. T. Higgins (Eds.), </w:t>
      </w:r>
      <w:r w:rsidRPr="00D71037">
        <w:rPr>
          <w:i/>
          <w:iCs/>
          <w:sz w:val="24"/>
          <w:szCs w:val="24"/>
        </w:rPr>
        <w:t>Handbook of theories of social psychology: Vol. 1</w:t>
      </w:r>
      <w:r w:rsidRPr="00D71037">
        <w:rPr>
          <w:sz w:val="24"/>
          <w:szCs w:val="24"/>
        </w:rPr>
        <w:t> (pp. 416</w:t>
      </w:r>
      <w:r w:rsidRPr="00D71037">
        <w:rPr>
          <w:sz w:val="24"/>
          <w:szCs w:val="24"/>
          <w:lang w:val="en-CA"/>
        </w:rPr>
        <w:t>–</w:t>
      </w:r>
      <w:r w:rsidRPr="00D71037">
        <w:rPr>
          <w:sz w:val="24"/>
          <w:szCs w:val="24"/>
        </w:rPr>
        <w:t>437). Thousand Oaks, CA: Sage.</w:t>
      </w:r>
    </w:p>
    <w:p w14:paraId="22E7D224" w14:textId="77777777" w:rsidR="00947794" w:rsidRDefault="00947794" w:rsidP="00030275">
      <w:pPr>
        <w:contextualSpacing/>
      </w:pPr>
      <w:proofErr w:type="gramStart"/>
      <w:r>
        <w:t xml:space="preserve">Elliot, E. S., &amp; </w:t>
      </w:r>
      <w:proofErr w:type="spellStart"/>
      <w:r>
        <w:t>Dweck</w:t>
      </w:r>
      <w:proofErr w:type="spellEnd"/>
      <w:r>
        <w:t>, C. S. (1988).</w:t>
      </w:r>
      <w:proofErr w:type="gramEnd"/>
      <w:r>
        <w:t xml:space="preserve"> Goals: An approach to motivation and achievement. </w:t>
      </w:r>
    </w:p>
    <w:p w14:paraId="32757417" w14:textId="33C86E99" w:rsidR="00947794" w:rsidRDefault="00947794" w:rsidP="00030275">
      <w:pPr>
        <w:ind w:firstLine="720"/>
        <w:contextualSpacing/>
      </w:pPr>
      <w:r>
        <w:rPr>
          <w:i/>
          <w:iCs/>
        </w:rPr>
        <w:t>Journal of Personality and Social Psychology, 54</w:t>
      </w:r>
      <w:r>
        <w:t>, 5</w:t>
      </w:r>
      <w:r w:rsidR="00075DC3">
        <w:t>–</w:t>
      </w:r>
      <w:r>
        <w:t>12.</w:t>
      </w:r>
    </w:p>
    <w:p w14:paraId="421153F0" w14:textId="276B6C41" w:rsidR="0039235F" w:rsidRPr="00CD0241" w:rsidRDefault="0039235F" w:rsidP="00030275">
      <w:pPr>
        <w:pStyle w:val="CommentText"/>
        <w:ind w:left="720" w:hanging="720"/>
        <w:contextualSpacing/>
        <w:rPr>
          <w:bCs/>
          <w:i/>
          <w:sz w:val="24"/>
          <w:szCs w:val="24"/>
          <w:lang w:val="en-CA"/>
        </w:rPr>
      </w:pPr>
      <w:proofErr w:type="gramStart"/>
      <w:r w:rsidRPr="00D71037">
        <w:rPr>
          <w:bCs/>
          <w:sz w:val="24"/>
          <w:szCs w:val="24"/>
          <w:lang w:val="en-CA"/>
        </w:rPr>
        <w:t>Engineers Canada.</w:t>
      </w:r>
      <w:proofErr w:type="gramEnd"/>
      <w:r w:rsidRPr="00D71037">
        <w:rPr>
          <w:bCs/>
          <w:sz w:val="24"/>
          <w:szCs w:val="24"/>
          <w:lang w:val="en-CA"/>
        </w:rPr>
        <w:t xml:space="preserve"> (2012). </w:t>
      </w:r>
      <w:r w:rsidRPr="00D71037">
        <w:rPr>
          <w:bCs/>
          <w:i/>
          <w:sz w:val="24"/>
          <w:szCs w:val="24"/>
          <w:lang w:val="en-CA"/>
        </w:rPr>
        <w:t>Canadian engineers for tomorrow: Trends in engineering enrolment and degrees awarded 2007-2011</w:t>
      </w:r>
      <w:r w:rsidRPr="00D71037">
        <w:rPr>
          <w:bCs/>
          <w:sz w:val="24"/>
          <w:szCs w:val="24"/>
          <w:lang w:val="en-CA"/>
        </w:rPr>
        <w:t>. Ottawa, Canada: Author.</w:t>
      </w:r>
    </w:p>
    <w:p w14:paraId="5EF354FE" w14:textId="77777777" w:rsidR="00947794" w:rsidRDefault="00947794" w:rsidP="00030275">
      <w:pPr>
        <w:contextualSpacing/>
      </w:pPr>
      <w:r>
        <w:t xml:space="preserve">Emmons, R. A. (1992). Abstract versus concrete goals: Personal striving level, physical </w:t>
      </w:r>
    </w:p>
    <w:p w14:paraId="38108EC8" w14:textId="76639622" w:rsidR="00947794" w:rsidRPr="008947F1" w:rsidRDefault="00947794" w:rsidP="00030275">
      <w:pPr>
        <w:ind w:left="720"/>
        <w:contextualSpacing/>
      </w:pPr>
      <w:proofErr w:type="gramStart"/>
      <w:r>
        <w:t>illness</w:t>
      </w:r>
      <w:proofErr w:type="gramEnd"/>
      <w:r>
        <w:t>, and psychological well</w:t>
      </w:r>
      <w:r w:rsidR="00AA113A">
        <w:t>-</w:t>
      </w:r>
      <w:r>
        <w:t xml:space="preserve">being. </w:t>
      </w:r>
      <w:r>
        <w:rPr>
          <w:i/>
          <w:iCs/>
        </w:rPr>
        <w:t>Journal of Personality and Social Psychology, 62</w:t>
      </w:r>
      <w:r>
        <w:t>, 292</w:t>
      </w:r>
      <w:r w:rsidR="00075DC3">
        <w:t>–</w:t>
      </w:r>
      <w:r>
        <w:t>300.</w:t>
      </w:r>
    </w:p>
    <w:p w14:paraId="46958EF4" w14:textId="77777777" w:rsidR="00947794" w:rsidRDefault="00947794" w:rsidP="00030275">
      <w:pPr>
        <w:contextualSpacing/>
        <w:rPr>
          <w:rStyle w:val="titles-title1"/>
        </w:rPr>
      </w:pPr>
      <w:proofErr w:type="spellStart"/>
      <w:proofErr w:type="gramStart"/>
      <w:r w:rsidRPr="008947F1">
        <w:rPr>
          <w:rStyle w:val="bibrecord-highlight1"/>
          <w:b w:val="0"/>
          <w:bCs w:val="0"/>
          <w:color w:val="auto"/>
        </w:rPr>
        <w:t>Filak</w:t>
      </w:r>
      <w:proofErr w:type="spellEnd"/>
      <w:r w:rsidRPr="008947F1">
        <w:t xml:space="preserve">, </w:t>
      </w:r>
      <w:r w:rsidRPr="008947F1">
        <w:rPr>
          <w:rStyle w:val="bibrecord-highlight1"/>
          <w:b w:val="0"/>
          <w:bCs w:val="0"/>
          <w:color w:val="auto"/>
        </w:rPr>
        <w:t>V.</w:t>
      </w:r>
      <w:r>
        <w:rPr>
          <w:rStyle w:val="bibrecord-highlight1"/>
          <w:b w:val="0"/>
          <w:bCs w:val="0"/>
        </w:rPr>
        <w:t xml:space="preserve"> </w:t>
      </w:r>
      <w:r>
        <w:t>F., &amp; Sheldon, K. M. (2003).</w:t>
      </w:r>
      <w:proofErr w:type="gramEnd"/>
      <w:r>
        <w:t xml:space="preserve"> </w:t>
      </w:r>
      <w:r>
        <w:rPr>
          <w:rStyle w:val="titles-title1"/>
          <w:b w:val="0"/>
          <w:bCs w:val="0"/>
        </w:rPr>
        <w:t xml:space="preserve">Student psychological need satisfaction and </w:t>
      </w:r>
    </w:p>
    <w:p w14:paraId="7299FB02" w14:textId="49EC7AB9" w:rsidR="00947794" w:rsidRDefault="00947794" w:rsidP="00030275">
      <w:pPr>
        <w:ind w:left="720"/>
        <w:contextualSpacing/>
        <w:rPr>
          <w:rStyle w:val="titles-source1"/>
        </w:rPr>
      </w:pPr>
      <w:proofErr w:type="gramStart"/>
      <w:r>
        <w:rPr>
          <w:rStyle w:val="titles-title1"/>
          <w:b w:val="0"/>
          <w:bCs w:val="0"/>
        </w:rPr>
        <w:t>college</w:t>
      </w:r>
      <w:proofErr w:type="gramEnd"/>
      <w:r>
        <w:rPr>
          <w:rStyle w:val="titles-title1"/>
          <w:b w:val="0"/>
          <w:bCs w:val="0"/>
        </w:rPr>
        <w:t xml:space="preserve"> teacher</w:t>
      </w:r>
      <w:r w:rsidR="00AA113A">
        <w:rPr>
          <w:rStyle w:val="titles-title1"/>
          <w:b w:val="0"/>
          <w:bCs w:val="0"/>
        </w:rPr>
        <w:t>-</w:t>
      </w:r>
      <w:r>
        <w:rPr>
          <w:rStyle w:val="titles-title1"/>
          <w:b w:val="0"/>
          <w:bCs w:val="0"/>
        </w:rPr>
        <w:t>course evaluations.</w:t>
      </w:r>
      <w:r>
        <w:t xml:space="preserve"> </w:t>
      </w:r>
      <w:r>
        <w:rPr>
          <w:rStyle w:val="titles-source1"/>
        </w:rPr>
        <w:t>Educational Psychology: An International Journal of Experimental Educational Psychology,</w:t>
      </w:r>
      <w:r>
        <w:rPr>
          <w:rStyle w:val="titles-source1"/>
          <w:i w:val="0"/>
          <w:iCs w:val="0"/>
        </w:rPr>
        <w:t xml:space="preserve"> </w:t>
      </w:r>
      <w:r>
        <w:rPr>
          <w:rStyle w:val="titles-source1"/>
        </w:rPr>
        <w:t>23</w:t>
      </w:r>
      <w:r>
        <w:rPr>
          <w:rStyle w:val="titles-source1"/>
          <w:i w:val="0"/>
          <w:iCs w:val="0"/>
        </w:rPr>
        <w:t>, 235</w:t>
      </w:r>
      <w:r w:rsidR="00075DC3">
        <w:rPr>
          <w:rStyle w:val="titles-source1"/>
          <w:i w:val="0"/>
          <w:iCs w:val="0"/>
        </w:rPr>
        <w:t>–</w:t>
      </w:r>
      <w:r>
        <w:rPr>
          <w:rStyle w:val="titles-source1"/>
          <w:i w:val="0"/>
          <w:iCs w:val="0"/>
        </w:rPr>
        <w:t>247</w:t>
      </w:r>
      <w:r>
        <w:rPr>
          <w:rStyle w:val="titles-source1"/>
        </w:rPr>
        <w:t>.</w:t>
      </w:r>
    </w:p>
    <w:p w14:paraId="183F69CD" w14:textId="77777777" w:rsidR="00947794" w:rsidRDefault="00947794" w:rsidP="00030275">
      <w:pPr>
        <w:pStyle w:val="Header"/>
        <w:tabs>
          <w:tab w:val="clear" w:pos="4320"/>
          <w:tab w:val="clear" w:pos="8640"/>
        </w:tabs>
        <w:contextualSpacing/>
      </w:pPr>
      <w:proofErr w:type="gramStart"/>
      <w:r>
        <w:lastRenderedPageBreak/>
        <w:t xml:space="preserve">Fortier, M. S., </w:t>
      </w:r>
      <w:proofErr w:type="spellStart"/>
      <w:r>
        <w:t>Vallerand</w:t>
      </w:r>
      <w:proofErr w:type="spellEnd"/>
      <w:r>
        <w:t xml:space="preserve">, R. J., &amp; </w:t>
      </w:r>
      <w:proofErr w:type="spellStart"/>
      <w:r>
        <w:t>Guay</w:t>
      </w:r>
      <w:proofErr w:type="spellEnd"/>
      <w:r>
        <w:t>, F. (1995).</w:t>
      </w:r>
      <w:proofErr w:type="gramEnd"/>
      <w:r>
        <w:t xml:space="preserve"> Academic motivation and school </w:t>
      </w:r>
    </w:p>
    <w:p w14:paraId="53CA8A81" w14:textId="102CD790" w:rsidR="00947794" w:rsidRDefault="00947794" w:rsidP="00030275">
      <w:pPr>
        <w:pStyle w:val="Header"/>
        <w:tabs>
          <w:tab w:val="clear" w:pos="4320"/>
          <w:tab w:val="clear" w:pos="8640"/>
        </w:tabs>
        <w:ind w:left="720"/>
        <w:contextualSpacing/>
      </w:pPr>
      <w:proofErr w:type="gramStart"/>
      <w:r>
        <w:t>performance</w:t>
      </w:r>
      <w:proofErr w:type="gramEnd"/>
      <w:r>
        <w:t xml:space="preserve">: Toward a structural model. </w:t>
      </w:r>
      <w:r>
        <w:rPr>
          <w:i/>
          <w:iCs/>
        </w:rPr>
        <w:t>Contemporary Educational Psychology</w:t>
      </w:r>
      <w:r>
        <w:t xml:space="preserve">, </w:t>
      </w:r>
      <w:r>
        <w:rPr>
          <w:i/>
          <w:iCs/>
        </w:rPr>
        <w:t>20</w:t>
      </w:r>
      <w:r>
        <w:t>, 257</w:t>
      </w:r>
      <w:r w:rsidR="00075DC3">
        <w:t>–</w:t>
      </w:r>
      <w:r>
        <w:t>274.</w:t>
      </w:r>
    </w:p>
    <w:p w14:paraId="04DE652A" w14:textId="14BBCB06" w:rsidR="00F570F7" w:rsidRPr="00F570F7" w:rsidRDefault="00AD2769" w:rsidP="00030275">
      <w:pPr>
        <w:pStyle w:val="Header"/>
        <w:tabs>
          <w:tab w:val="clear" w:pos="4320"/>
          <w:tab w:val="clear" w:pos="8640"/>
        </w:tabs>
        <w:ind w:left="720" w:hanging="720"/>
        <w:contextualSpacing/>
      </w:pPr>
      <w:hyperlink r:id="rId13" w:tooltip="Search for all articles by this author" w:history="1">
        <w:r w:rsidR="00F570F7" w:rsidRPr="00CD0241">
          <w:rPr>
            <w:rStyle w:val="Hyperlink"/>
            <w:color w:val="auto"/>
            <w:u w:val="none"/>
            <w:lang w:val="en-US"/>
          </w:rPr>
          <w:t>Goetz</w:t>
        </w:r>
        <w:r w:rsidR="00F570F7">
          <w:rPr>
            <w:rStyle w:val="Hyperlink"/>
            <w:color w:val="auto"/>
            <w:u w:val="none"/>
            <w:lang w:val="en-US"/>
          </w:rPr>
          <w:t>,</w:t>
        </w:r>
        <w:r w:rsidR="00F570F7" w:rsidRPr="00CD0241">
          <w:rPr>
            <w:rStyle w:val="Hyperlink"/>
            <w:color w:val="auto"/>
            <w:u w:val="none"/>
            <w:lang w:val="en-US"/>
          </w:rPr>
          <w:t xml:space="preserve"> T.</w:t>
        </w:r>
      </w:hyperlink>
      <w:r w:rsidR="00F570F7" w:rsidRPr="00F570F7">
        <w:rPr>
          <w:lang w:val="en-US"/>
        </w:rPr>
        <w:t>, </w:t>
      </w:r>
      <w:proofErr w:type="spellStart"/>
      <w:r>
        <w:fldChar w:fldCharType="begin"/>
      </w:r>
      <w:r>
        <w:instrText xml:space="preserve"> HYPERLINK "http://www.scopus.com/search/submit/author.url?author=Bieg+M.&amp;origin=re</w:instrText>
      </w:r>
      <w:r>
        <w:instrText xml:space="preserve">sultslist&amp;authorId=55878385300" \o "Search for all articles by this author" </w:instrText>
      </w:r>
      <w:r>
        <w:fldChar w:fldCharType="separate"/>
      </w:r>
      <w:r w:rsidR="00F570F7" w:rsidRPr="00CD0241">
        <w:rPr>
          <w:rStyle w:val="Hyperlink"/>
          <w:color w:val="auto"/>
          <w:u w:val="none"/>
          <w:lang w:val="en-US"/>
        </w:rPr>
        <w:t>Bieg</w:t>
      </w:r>
      <w:proofErr w:type="spellEnd"/>
      <w:r w:rsidR="00F570F7">
        <w:rPr>
          <w:rStyle w:val="Hyperlink"/>
          <w:color w:val="auto"/>
          <w:u w:val="none"/>
          <w:lang w:val="en-US"/>
        </w:rPr>
        <w:t>,</w:t>
      </w:r>
      <w:r w:rsidR="00F570F7" w:rsidRPr="00CD0241">
        <w:rPr>
          <w:rStyle w:val="Hyperlink"/>
          <w:color w:val="auto"/>
          <w:u w:val="none"/>
          <w:lang w:val="en-US"/>
        </w:rPr>
        <w:t xml:space="preserve"> M.</w:t>
      </w:r>
      <w:r>
        <w:rPr>
          <w:rStyle w:val="Hyperlink"/>
          <w:color w:val="auto"/>
          <w:u w:val="none"/>
          <w:lang w:val="en-US"/>
        </w:rPr>
        <w:fldChar w:fldCharType="end"/>
      </w:r>
      <w:r w:rsidR="00F570F7" w:rsidRPr="00F570F7">
        <w:rPr>
          <w:lang w:val="en-US"/>
        </w:rPr>
        <w:t>, </w:t>
      </w:r>
      <w:hyperlink r:id="rId14" w:tooltip="Search for all articles by this author" w:history="1">
        <w:proofErr w:type="spellStart"/>
        <w:r w:rsidR="00F570F7" w:rsidRPr="00CD0241">
          <w:rPr>
            <w:rStyle w:val="Hyperlink"/>
            <w:color w:val="auto"/>
            <w:u w:val="none"/>
            <w:lang w:val="en-US"/>
          </w:rPr>
          <w:t>Ludtke</w:t>
        </w:r>
        <w:proofErr w:type="spellEnd"/>
        <w:r w:rsidR="00F570F7">
          <w:rPr>
            <w:rStyle w:val="Hyperlink"/>
            <w:color w:val="auto"/>
            <w:u w:val="none"/>
            <w:lang w:val="en-US"/>
          </w:rPr>
          <w:t>,</w:t>
        </w:r>
        <w:r w:rsidR="00F570F7" w:rsidRPr="00CD0241">
          <w:rPr>
            <w:rStyle w:val="Hyperlink"/>
            <w:color w:val="auto"/>
            <w:u w:val="none"/>
            <w:lang w:val="en-US"/>
          </w:rPr>
          <w:t xml:space="preserve"> O.</w:t>
        </w:r>
      </w:hyperlink>
      <w:r w:rsidR="00F570F7" w:rsidRPr="00F570F7">
        <w:rPr>
          <w:lang w:val="en-US"/>
        </w:rPr>
        <w:t>, </w:t>
      </w:r>
      <w:proofErr w:type="spellStart"/>
      <w:r>
        <w:fldChar w:fldCharType="begin"/>
      </w:r>
      <w:r>
        <w:instrText xml:space="preserve"> HYPERLINK "http://www.scopus.com/search/submit/author.url?author=Pekrun+R.&amp;origin=resultslist&amp;authorId=6602769314" \o "Search for all articles by this author" </w:instrText>
      </w:r>
      <w:r>
        <w:fldChar w:fldCharType="separate"/>
      </w:r>
      <w:r w:rsidR="00F570F7" w:rsidRPr="00CD0241">
        <w:rPr>
          <w:rStyle w:val="Hyperlink"/>
          <w:color w:val="auto"/>
          <w:u w:val="none"/>
          <w:lang w:val="en-US"/>
        </w:rPr>
        <w:t>Pekrun</w:t>
      </w:r>
      <w:proofErr w:type="spellEnd"/>
      <w:r w:rsidR="00F570F7">
        <w:rPr>
          <w:rStyle w:val="Hyperlink"/>
          <w:color w:val="auto"/>
          <w:u w:val="none"/>
          <w:lang w:val="en-US"/>
        </w:rPr>
        <w:t>,</w:t>
      </w:r>
      <w:r w:rsidR="00F570F7" w:rsidRPr="00CD0241">
        <w:rPr>
          <w:rStyle w:val="Hyperlink"/>
          <w:color w:val="auto"/>
          <w:u w:val="none"/>
          <w:lang w:val="en-US"/>
        </w:rPr>
        <w:t xml:space="preserve"> R.</w:t>
      </w:r>
      <w:r>
        <w:rPr>
          <w:rStyle w:val="Hyperlink"/>
          <w:color w:val="auto"/>
          <w:u w:val="none"/>
          <w:lang w:val="en-US"/>
        </w:rPr>
        <w:fldChar w:fldCharType="end"/>
      </w:r>
      <w:r w:rsidR="00F570F7" w:rsidRPr="00F570F7">
        <w:rPr>
          <w:lang w:val="en-US"/>
        </w:rPr>
        <w:t>, </w:t>
      </w:r>
      <w:r w:rsidR="003B1005">
        <w:rPr>
          <w:lang w:val="en-US"/>
        </w:rPr>
        <w:t xml:space="preserve">&amp; </w:t>
      </w:r>
      <w:hyperlink r:id="rId15" w:tooltip="Search for all articles by this author" w:history="1">
        <w:r w:rsidR="00F570F7" w:rsidRPr="00CD0241">
          <w:rPr>
            <w:rStyle w:val="Hyperlink"/>
            <w:color w:val="auto"/>
            <w:u w:val="none"/>
            <w:lang w:val="en-US"/>
          </w:rPr>
          <w:t>Hall</w:t>
        </w:r>
        <w:r w:rsidR="00F570F7">
          <w:rPr>
            <w:rStyle w:val="Hyperlink"/>
            <w:color w:val="auto"/>
            <w:u w:val="none"/>
            <w:lang w:val="en-US"/>
          </w:rPr>
          <w:t>,</w:t>
        </w:r>
        <w:r w:rsidR="00F570F7" w:rsidRPr="00CD0241">
          <w:rPr>
            <w:rStyle w:val="Hyperlink"/>
            <w:color w:val="auto"/>
            <w:u w:val="none"/>
            <w:lang w:val="en-US"/>
          </w:rPr>
          <w:t xml:space="preserve"> N.C.</w:t>
        </w:r>
      </w:hyperlink>
      <w:r w:rsidR="00F570F7" w:rsidRPr="00F570F7">
        <w:rPr>
          <w:lang w:val="en-US"/>
        </w:rPr>
        <w:t xml:space="preserve"> (2013). </w:t>
      </w:r>
      <w:hyperlink r:id="rId16" w:history="1">
        <w:r w:rsidR="00F570F7" w:rsidRPr="00F570F7">
          <w:rPr>
            <w:rStyle w:val="Hyperlink"/>
            <w:color w:val="auto"/>
            <w:u w:val="none"/>
            <w:lang w:val="en-US"/>
          </w:rPr>
          <w:t xml:space="preserve">Do </w:t>
        </w:r>
        <w:r w:rsidR="00F570F7">
          <w:rPr>
            <w:rStyle w:val="Hyperlink"/>
            <w:color w:val="auto"/>
            <w:u w:val="none"/>
            <w:lang w:val="en-US"/>
          </w:rPr>
          <w:t>g</w:t>
        </w:r>
        <w:r w:rsidR="00F570F7" w:rsidRPr="00F570F7">
          <w:rPr>
            <w:rStyle w:val="Hyperlink"/>
            <w:color w:val="auto"/>
            <w:u w:val="none"/>
            <w:lang w:val="en-US"/>
          </w:rPr>
          <w:t xml:space="preserve">irls </w:t>
        </w:r>
        <w:r w:rsidR="00F570F7">
          <w:rPr>
            <w:rStyle w:val="Hyperlink"/>
            <w:color w:val="auto"/>
            <w:u w:val="none"/>
            <w:lang w:val="en-US"/>
          </w:rPr>
          <w:t>r</w:t>
        </w:r>
        <w:r w:rsidR="00F570F7" w:rsidRPr="00F570F7">
          <w:rPr>
            <w:rStyle w:val="Hyperlink"/>
            <w:color w:val="auto"/>
            <w:u w:val="none"/>
            <w:lang w:val="en-US"/>
          </w:rPr>
          <w:t xml:space="preserve">eally </w:t>
        </w:r>
        <w:r w:rsidR="00F570F7">
          <w:rPr>
            <w:rStyle w:val="Hyperlink"/>
            <w:color w:val="auto"/>
            <w:u w:val="none"/>
            <w:lang w:val="en-US"/>
          </w:rPr>
          <w:t>e</w:t>
        </w:r>
        <w:r w:rsidR="00F570F7" w:rsidRPr="00F570F7">
          <w:rPr>
            <w:rStyle w:val="Hyperlink"/>
            <w:color w:val="auto"/>
            <w:u w:val="none"/>
            <w:lang w:val="en-US"/>
          </w:rPr>
          <w:t xml:space="preserve">xperience </w:t>
        </w:r>
        <w:r w:rsidR="00F570F7">
          <w:rPr>
            <w:rStyle w:val="Hyperlink"/>
            <w:color w:val="auto"/>
            <w:u w:val="none"/>
            <w:lang w:val="en-US"/>
          </w:rPr>
          <w:t>m</w:t>
        </w:r>
        <w:r w:rsidR="00F570F7" w:rsidRPr="00F570F7">
          <w:rPr>
            <w:rStyle w:val="Hyperlink"/>
            <w:color w:val="auto"/>
            <w:u w:val="none"/>
            <w:lang w:val="en-US"/>
          </w:rPr>
          <w:t xml:space="preserve">ore </w:t>
        </w:r>
        <w:r w:rsidR="00F570F7">
          <w:rPr>
            <w:rStyle w:val="Hyperlink"/>
            <w:color w:val="auto"/>
            <w:u w:val="none"/>
            <w:lang w:val="en-US"/>
          </w:rPr>
          <w:t>a</w:t>
        </w:r>
        <w:r w:rsidR="00F570F7" w:rsidRPr="00F570F7">
          <w:rPr>
            <w:rStyle w:val="Hyperlink"/>
            <w:color w:val="auto"/>
            <w:u w:val="none"/>
            <w:lang w:val="en-US"/>
          </w:rPr>
          <w:t xml:space="preserve">nxiety in </w:t>
        </w:r>
        <w:r w:rsidR="00F570F7">
          <w:rPr>
            <w:rStyle w:val="Hyperlink"/>
            <w:color w:val="auto"/>
            <w:u w:val="none"/>
            <w:lang w:val="en-US"/>
          </w:rPr>
          <w:t>m</w:t>
        </w:r>
        <w:r w:rsidR="00F570F7" w:rsidRPr="00CD0241">
          <w:rPr>
            <w:rStyle w:val="Hyperlink"/>
            <w:color w:val="auto"/>
            <w:u w:val="none"/>
            <w:lang w:val="en-US"/>
          </w:rPr>
          <w:t>athematics?</w:t>
        </w:r>
      </w:hyperlink>
      <w:r w:rsidR="00F570F7" w:rsidRPr="00F570F7">
        <w:rPr>
          <w:lang w:val="en-US"/>
        </w:rPr>
        <w:t> </w:t>
      </w:r>
      <w:r w:rsidR="00F570F7" w:rsidRPr="00CD0241">
        <w:rPr>
          <w:i/>
          <w:lang w:val="en-US"/>
        </w:rPr>
        <w:t>Psychological Science, 24</w:t>
      </w:r>
      <w:r w:rsidR="00F570F7" w:rsidRPr="00F570F7">
        <w:rPr>
          <w:lang w:val="en-US"/>
        </w:rPr>
        <w:t>, 2079</w:t>
      </w:r>
      <w:r w:rsidR="00F570F7" w:rsidRPr="00F570F7">
        <w:t>–</w:t>
      </w:r>
      <w:r w:rsidR="00F570F7" w:rsidRPr="00F570F7">
        <w:rPr>
          <w:lang w:val="en-US"/>
        </w:rPr>
        <w:t>2087.</w:t>
      </w:r>
    </w:p>
    <w:p w14:paraId="7B05F6E8" w14:textId="3EF40A9E" w:rsidR="00947794" w:rsidRDefault="00947794" w:rsidP="00030275">
      <w:pPr>
        <w:contextualSpacing/>
        <w:rPr>
          <w:i/>
          <w:iCs/>
        </w:rPr>
      </w:pPr>
      <w:proofErr w:type="spellStart"/>
      <w:proofErr w:type="gramStart"/>
      <w:r>
        <w:t>Grandy</w:t>
      </w:r>
      <w:proofErr w:type="spellEnd"/>
      <w:r>
        <w:t>, J. (1998).</w:t>
      </w:r>
      <w:proofErr w:type="gramEnd"/>
      <w:r>
        <w:t xml:space="preserve"> </w:t>
      </w:r>
      <w:proofErr w:type="gramStart"/>
      <w:r>
        <w:t>Persistence in science of high</w:t>
      </w:r>
      <w:r w:rsidR="00AA113A">
        <w:t>-</w:t>
      </w:r>
      <w:r>
        <w:t>ability minority students.</w:t>
      </w:r>
      <w:proofErr w:type="gramEnd"/>
      <w:r>
        <w:t xml:space="preserve"> </w:t>
      </w:r>
      <w:r>
        <w:rPr>
          <w:i/>
          <w:iCs/>
        </w:rPr>
        <w:t xml:space="preserve">The Journal </w:t>
      </w:r>
    </w:p>
    <w:p w14:paraId="2EDE105A" w14:textId="3348153C" w:rsidR="00947794" w:rsidRDefault="00947794" w:rsidP="00030275">
      <w:pPr>
        <w:ind w:firstLine="720"/>
        <w:contextualSpacing/>
      </w:pPr>
      <w:proofErr w:type="gramStart"/>
      <w:r>
        <w:rPr>
          <w:i/>
          <w:iCs/>
        </w:rPr>
        <w:t>of</w:t>
      </w:r>
      <w:proofErr w:type="gramEnd"/>
      <w:r>
        <w:rPr>
          <w:i/>
          <w:iCs/>
        </w:rPr>
        <w:t xml:space="preserve"> Higher Education</w:t>
      </w:r>
      <w:r>
        <w:t xml:space="preserve">, </w:t>
      </w:r>
      <w:r>
        <w:rPr>
          <w:i/>
          <w:iCs/>
        </w:rPr>
        <w:t>69</w:t>
      </w:r>
      <w:r>
        <w:t>, 589</w:t>
      </w:r>
      <w:r w:rsidR="00075DC3">
        <w:t>–</w:t>
      </w:r>
      <w:r>
        <w:t>620.</w:t>
      </w:r>
    </w:p>
    <w:p w14:paraId="19318643" w14:textId="6EBF6A40" w:rsidR="00947794" w:rsidRDefault="00947794" w:rsidP="00030275">
      <w:pPr>
        <w:pStyle w:val="Footer"/>
        <w:tabs>
          <w:tab w:val="clear" w:pos="4320"/>
          <w:tab w:val="clear" w:pos="8640"/>
        </w:tabs>
        <w:contextualSpacing/>
      </w:pPr>
      <w:proofErr w:type="gramStart"/>
      <w:r>
        <w:t>Hackett, G., &amp; Betz, N. E. (1981).</w:t>
      </w:r>
      <w:proofErr w:type="gramEnd"/>
      <w:r>
        <w:t xml:space="preserve"> A self</w:t>
      </w:r>
      <w:r w:rsidR="006301FD">
        <w:t>-</w:t>
      </w:r>
      <w:r>
        <w:t xml:space="preserve">efficacy approach to the career development of </w:t>
      </w:r>
    </w:p>
    <w:p w14:paraId="1BF865F9" w14:textId="405C181B" w:rsidR="00947794" w:rsidRDefault="00947794" w:rsidP="00030275">
      <w:pPr>
        <w:ind w:firstLine="720"/>
        <w:contextualSpacing/>
      </w:pPr>
      <w:proofErr w:type="gramStart"/>
      <w:r>
        <w:t>women</w:t>
      </w:r>
      <w:proofErr w:type="gramEnd"/>
      <w:r>
        <w:t xml:space="preserve">. </w:t>
      </w:r>
      <w:r>
        <w:rPr>
          <w:i/>
          <w:iCs/>
        </w:rPr>
        <w:t>Journal of Vocational Behavior, 18</w:t>
      </w:r>
      <w:r>
        <w:t>, 326</w:t>
      </w:r>
      <w:r w:rsidR="00075DC3">
        <w:t>–</w:t>
      </w:r>
      <w:r>
        <w:t>336.</w:t>
      </w:r>
    </w:p>
    <w:p w14:paraId="03A36854" w14:textId="08D35B69" w:rsidR="0039235F" w:rsidRDefault="0039235F" w:rsidP="00030275">
      <w:pPr>
        <w:ind w:left="720" w:hanging="720"/>
        <w:contextualSpacing/>
      </w:pPr>
      <w:proofErr w:type="gramStart"/>
      <w:r w:rsidRPr="00D71037">
        <w:t xml:space="preserve">Hall, C., Dickerson, J., </w:t>
      </w:r>
      <w:proofErr w:type="spellStart"/>
      <w:r w:rsidRPr="00D71037">
        <w:t>Batts</w:t>
      </w:r>
      <w:proofErr w:type="spellEnd"/>
      <w:r w:rsidRPr="00D71037">
        <w:t xml:space="preserve">, D., Kauffmann, P., &amp; </w:t>
      </w:r>
      <w:proofErr w:type="spellStart"/>
      <w:r w:rsidRPr="00D71037">
        <w:t>Bosse</w:t>
      </w:r>
      <w:proofErr w:type="spellEnd"/>
      <w:r w:rsidRPr="00D71037">
        <w:t>, M. (2011).</w:t>
      </w:r>
      <w:proofErr w:type="gramEnd"/>
      <w:r w:rsidRPr="00D71037">
        <w:t xml:space="preserve"> Are we missing opportunities to encourage interest in STEM fields? </w:t>
      </w:r>
      <w:r w:rsidRPr="00CD0241">
        <w:rPr>
          <w:i/>
        </w:rPr>
        <w:t>Journal of Technology Education, 23</w:t>
      </w:r>
      <w:r w:rsidRPr="00D71037">
        <w:t>, 32–46.</w:t>
      </w:r>
    </w:p>
    <w:p w14:paraId="36B9CF59" w14:textId="14255871" w:rsidR="00DB49C5" w:rsidRDefault="00DB49C5" w:rsidP="00030275">
      <w:pPr>
        <w:ind w:left="720" w:hanging="720"/>
        <w:contextualSpacing/>
      </w:pPr>
      <w:proofErr w:type="gramStart"/>
      <w:r w:rsidRPr="00CD0241">
        <w:rPr>
          <w:bCs/>
        </w:rPr>
        <w:t>Hall, N. C.</w:t>
      </w:r>
      <w:r w:rsidRPr="00DB49C5">
        <w:t xml:space="preserve">, Perry, R. P., Goetz, T., </w:t>
      </w:r>
      <w:proofErr w:type="spellStart"/>
      <w:r w:rsidRPr="00DB49C5">
        <w:t>Ruthig</w:t>
      </w:r>
      <w:proofErr w:type="spellEnd"/>
      <w:r w:rsidRPr="00DB49C5">
        <w:t xml:space="preserve">, J. C., </w:t>
      </w:r>
      <w:proofErr w:type="spellStart"/>
      <w:r w:rsidRPr="00DB49C5">
        <w:t>Stupnisky</w:t>
      </w:r>
      <w:proofErr w:type="spellEnd"/>
      <w:r w:rsidRPr="00DB49C5">
        <w:t xml:space="preserve">, R. H., &amp; </w:t>
      </w:r>
      <w:proofErr w:type="spellStart"/>
      <w:r w:rsidRPr="00DB49C5">
        <w:t>Newall</w:t>
      </w:r>
      <w:proofErr w:type="spellEnd"/>
      <w:r w:rsidRPr="00DB49C5">
        <w:t>, N. E. (2007).</w:t>
      </w:r>
      <w:proofErr w:type="gramEnd"/>
      <w:r w:rsidRPr="00DB49C5">
        <w:t xml:space="preserve"> Attributional retraining and elaborative learning: Improving academic development through writing-based interventions.</w:t>
      </w:r>
      <w:r w:rsidRPr="00DB49C5">
        <w:rPr>
          <w:i/>
          <w:iCs/>
        </w:rPr>
        <w:t xml:space="preserve"> Learning and Individual Differences, 17</w:t>
      </w:r>
      <w:r w:rsidRPr="00DB49C5">
        <w:t>, 280-290</w:t>
      </w:r>
      <w:r w:rsidRPr="00DB49C5">
        <w:rPr>
          <w:i/>
          <w:iCs/>
        </w:rPr>
        <w:t>.</w:t>
      </w:r>
    </w:p>
    <w:p w14:paraId="236CCCB0" w14:textId="77777777" w:rsidR="00947794" w:rsidRDefault="00947794" w:rsidP="00030275">
      <w:pPr>
        <w:contextualSpacing/>
      </w:pPr>
      <w:proofErr w:type="spellStart"/>
      <w:r>
        <w:t>Harackiewicz</w:t>
      </w:r>
      <w:proofErr w:type="spellEnd"/>
      <w:r>
        <w:t xml:space="preserve">, J. M., Barron, K. E., </w:t>
      </w:r>
      <w:proofErr w:type="spellStart"/>
      <w:r>
        <w:t>Pintrich</w:t>
      </w:r>
      <w:proofErr w:type="spellEnd"/>
      <w:r>
        <w:t xml:space="preserve">, P. R., Elliot, A. J., &amp; Thrash, T. M. (2002). </w:t>
      </w:r>
    </w:p>
    <w:p w14:paraId="1FF53D81" w14:textId="28158B38" w:rsidR="00947794" w:rsidRDefault="00947794" w:rsidP="00030275">
      <w:pPr>
        <w:ind w:left="720"/>
        <w:contextualSpacing/>
      </w:pPr>
      <w:r>
        <w:t xml:space="preserve">Revision of achievement goal theory: Necessary and illuminating. </w:t>
      </w:r>
      <w:r>
        <w:rPr>
          <w:i/>
          <w:iCs/>
        </w:rPr>
        <w:t>Journal of Educational Psychology</w:t>
      </w:r>
      <w:r>
        <w:t xml:space="preserve">, </w:t>
      </w:r>
      <w:r>
        <w:rPr>
          <w:i/>
          <w:iCs/>
        </w:rPr>
        <w:t>94</w:t>
      </w:r>
      <w:r>
        <w:t>, 638</w:t>
      </w:r>
      <w:r w:rsidR="00075DC3">
        <w:t>–</w:t>
      </w:r>
      <w:r>
        <w:t>645.</w:t>
      </w:r>
    </w:p>
    <w:p w14:paraId="7D2CB028" w14:textId="575C6464" w:rsidR="005D59DB" w:rsidRPr="00CD0241" w:rsidRDefault="005D59DB" w:rsidP="00030275">
      <w:pPr>
        <w:autoSpaceDE w:val="0"/>
        <w:autoSpaceDN w:val="0"/>
        <w:adjustRightInd w:val="0"/>
        <w:ind w:left="720" w:hanging="720"/>
        <w:contextualSpacing/>
      </w:pPr>
      <w:proofErr w:type="gramStart"/>
      <w:r w:rsidRPr="00CD0241">
        <w:t>Hyde, J. S., Lindberg, S. M., Linn, M. C., Ellis, A., &amp; Williams, C. (2008).</w:t>
      </w:r>
      <w:proofErr w:type="gramEnd"/>
      <w:r w:rsidRPr="00CD0241">
        <w:t xml:space="preserve"> Gender similarities characterize math performance. </w:t>
      </w:r>
      <w:r w:rsidRPr="00CD0241">
        <w:rPr>
          <w:i/>
        </w:rPr>
        <w:t>Science, 321</w:t>
      </w:r>
      <w:r w:rsidRPr="00CD0241">
        <w:t>, 494–495.</w:t>
      </w:r>
    </w:p>
    <w:p w14:paraId="7C54E95A" w14:textId="366EE538" w:rsidR="00770B23" w:rsidRPr="00D71037" w:rsidRDefault="00770B23" w:rsidP="00030275">
      <w:pPr>
        <w:autoSpaceDE w:val="0"/>
        <w:autoSpaceDN w:val="0"/>
        <w:adjustRightInd w:val="0"/>
        <w:ind w:left="720" w:hanging="720"/>
        <w:contextualSpacing/>
        <w:rPr>
          <w:rFonts w:eastAsiaTheme="minorHAnsi"/>
        </w:rPr>
      </w:pPr>
      <w:proofErr w:type="gramStart"/>
      <w:r w:rsidRPr="00D71037">
        <w:rPr>
          <w:rFonts w:eastAsiaTheme="minorHAnsi"/>
        </w:rPr>
        <w:t>Ingersoll, R., &amp; May, H. (2012).</w:t>
      </w:r>
      <w:proofErr w:type="gramEnd"/>
      <w:r w:rsidRPr="00D71037">
        <w:rPr>
          <w:rFonts w:eastAsiaTheme="minorHAnsi"/>
        </w:rPr>
        <w:t xml:space="preserve"> </w:t>
      </w:r>
      <w:proofErr w:type="gramStart"/>
      <w:r w:rsidRPr="00D71037">
        <w:rPr>
          <w:rFonts w:eastAsiaTheme="minorHAnsi"/>
        </w:rPr>
        <w:t>The magnitude, destinations and determinants of mathematics and science teacher turnover.</w:t>
      </w:r>
      <w:proofErr w:type="gramEnd"/>
      <w:r w:rsidRPr="00D71037">
        <w:rPr>
          <w:rFonts w:eastAsiaTheme="minorHAnsi"/>
        </w:rPr>
        <w:t xml:space="preserve"> </w:t>
      </w:r>
      <w:r w:rsidRPr="00D71037">
        <w:rPr>
          <w:rFonts w:eastAsiaTheme="minorHAnsi"/>
          <w:i/>
        </w:rPr>
        <w:t>Educational Evaluation and Policy Analysis, 34</w:t>
      </w:r>
      <w:r w:rsidRPr="00D71037">
        <w:rPr>
          <w:rFonts w:eastAsiaTheme="minorHAnsi"/>
        </w:rPr>
        <w:t>, 435–464</w:t>
      </w:r>
      <w:r>
        <w:rPr>
          <w:rFonts w:eastAsiaTheme="minorHAnsi"/>
        </w:rPr>
        <w:t>.</w:t>
      </w:r>
    </w:p>
    <w:p w14:paraId="6089269E" w14:textId="76812DFF" w:rsidR="00770B23" w:rsidRPr="00D71037" w:rsidRDefault="00770B23" w:rsidP="00030275">
      <w:pPr>
        <w:ind w:left="720" w:hanging="720"/>
        <w:contextualSpacing/>
        <w:rPr>
          <w:rFonts w:eastAsiaTheme="minorHAnsi"/>
        </w:rPr>
      </w:pPr>
      <w:proofErr w:type="gramStart"/>
      <w:r w:rsidRPr="00D71037">
        <w:rPr>
          <w:rFonts w:eastAsiaTheme="minorHAnsi"/>
        </w:rPr>
        <w:t>I</w:t>
      </w:r>
      <w:r>
        <w:rPr>
          <w:rFonts w:eastAsiaTheme="minorHAnsi"/>
        </w:rPr>
        <w:t xml:space="preserve">ngersoll, R., &amp; </w:t>
      </w:r>
      <w:proofErr w:type="spellStart"/>
      <w:r>
        <w:rPr>
          <w:rFonts w:eastAsiaTheme="minorHAnsi"/>
        </w:rPr>
        <w:t>Perda</w:t>
      </w:r>
      <w:proofErr w:type="spellEnd"/>
      <w:r>
        <w:rPr>
          <w:rFonts w:eastAsiaTheme="minorHAnsi"/>
        </w:rPr>
        <w:t>, D. (2010</w:t>
      </w:r>
      <w:r w:rsidRPr="00D71037">
        <w:rPr>
          <w:rFonts w:eastAsiaTheme="minorHAnsi"/>
        </w:rPr>
        <w:t>).</w:t>
      </w:r>
      <w:proofErr w:type="gramEnd"/>
      <w:r w:rsidRPr="00D71037">
        <w:rPr>
          <w:rFonts w:eastAsiaTheme="minorHAnsi"/>
        </w:rPr>
        <w:t xml:space="preserve"> </w:t>
      </w:r>
      <w:r w:rsidRPr="00D71037">
        <w:rPr>
          <w:rFonts w:eastAsiaTheme="minorHAnsi"/>
          <w:bCs/>
        </w:rPr>
        <w:t>Is the supply of mathematics and science teachers sufficient?</w:t>
      </w:r>
      <w:r w:rsidRPr="00D71037">
        <w:rPr>
          <w:rFonts w:eastAsiaTheme="minorHAnsi"/>
          <w:i/>
          <w:iCs/>
        </w:rPr>
        <w:t xml:space="preserve"> American Educational Research Journal, </w:t>
      </w:r>
      <w:r w:rsidRPr="00D71037">
        <w:rPr>
          <w:rFonts w:eastAsiaTheme="minorHAnsi"/>
          <w:i/>
        </w:rPr>
        <w:t>47</w:t>
      </w:r>
      <w:r w:rsidRPr="00D71037">
        <w:rPr>
          <w:rFonts w:eastAsiaTheme="minorHAnsi"/>
        </w:rPr>
        <w:t>, 563–594</w:t>
      </w:r>
      <w:r>
        <w:rPr>
          <w:rFonts w:eastAsiaTheme="minorHAnsi"/>
        </w:rPr>
        <w:t>.</w:t>
      </w:r>
    </w:p>
    <w:p w14:paraId="2C5FB692" w14:textId="2E5CB41B" w:rsidR="00947794" w:rsidRDefault="00947794" w:rsidP="00030275">
      <w:pPr>
        <w:contextualSpacing/>
      </w:pPr>
      <w:proofErr w:type="gramStart"/>
      <w:r>
        <w:t>Jones, M. G., &amp; Wheatley, J. (1990).</w:t>
      </w:r>
      <w:proofErr w:type="gramEnd"/>
      <w:r>
        <w:t xml:space="preserve"> Gender differences in teacher</w:t>
      </w:r>
      <w:r w:rsidR="00AA113A">
        <w:t>-</w:t>
      </w:r>
      <w:r>
        <w:t xml:space="preserve">student interactions in </w:t>
      </w:r>
    </w:p>
    <w:p w14:paraId="6EEBB6F8" w14:textId="35764EE5" w:rsidR="00947794" w:rsidRDefault="00947794" w:rsidP="00030275">
      <w:pPr>
        <w:ind w:firstLine="720"/>
        <w:contextualSpacing/>
      </w:pPr>
      <w:proofErr w:type="gramStart"/>
      <w:r>
        <w:t>science</w:t>
      </w:r>
      <w:proofErr w:type="gramEnd"/>
      <w:r>
        <w:t xml:space="preserve"> classrooms. </w:t>
      </w:r>
      <w:r>
        <w:rPr>
          <w:i/>
          <w:iCs/>
        </w:rPr>
        <w:t>Journal of Research in Science Teaching, 27</w:t>
      </w:r>
      <w:r>
        <w:t>, 861</w:t>
      </w:r>
      <w:r w:rsidR="00075DC3">
        <w:t>–</w:t>
      </w:r>
      <w:r>
        <w:t>874.</w:t>
      </w:r>
    </w:p>
    <w:p w14:paraId="63D74BEE" w14:textId="16BD6DED" w:rsidR="00947794" w:rsidRDefault="00947794" w:rsidP="00030275">
      <w:pPr>
        <w:contextualSpacing/>
      </w:pPr>
      <w:r>
        <w:rPr>
          <w:lang w:val="es-ES"/>
        </w:rPr>
        <w:t xml:space="preserve">Kaplan, A., &amp; </w:t>
      </w:r>
      <w:proofErr w:type="spellStart"/>
      <w:r>
        <w:rPr>
          <w:lang w:val="es-ES"/>
        </w:rPr>
        <w:t>Maehr</w:t>
      </w:r>
      <w:proofErr w:type="spellEnd"/>
      <w:r>
        <w:rPr>
          <w:lang w:val="es-ES"/>
        </w:rPr>
        <w:t xml:space="preserve">, M. L. (1999). </w:t>
      </w:r>
      <w:proofErr w:type="gramStart"/>
      <w:r>
        <w:t>Achievement goals and student well</w:t>
      </w:r>
      <w:r w:rsidR="00AA113A">
        <w:t>-</w:t>
      </w:r>
      <w:r>
        <w:t>being.</w:t>
      </w:r>
      <w:proofErr w:type="gramEnd"/>
      <w:r>
        <w:t xml:space="preserve"> </w:t>
      </w:r>
    </w:p>
    <w:p w14:paraId="5588C70C" w14:textId="7C2EE28E" w:rsidR="00947794" w:rsidRDefault="00947794" w:rsidP="00030275">
      <w:pPr>
        <w:ind w:firstLine="720"/>
        <w:contextualSpacing/>
      </w:pPr>
      <w:r>
        <w:rPr>
          <w:i/>
          <w:iCs/>
        </w:rPr>
        <w:t>Contemporary Educational Psychology</w:t>
      </w:r>
      <w:r>
        <w:t xml:space="preserve">, </w:t>
      </w:r>
      <w:r>
        <w:rPr>
          <w:i/>
          <w:iCs/>
        </w:rPr>
        <w:t>24</w:t>
      </w:r>
      <w:r>
        <w:t>, 330</w:t>
      </w:r>
      <w:r w:rsidR="00075DC3">
        <w:t>–</w:t>
      </w:r>
      <w:r>
        <w:t>358.</w:t>
      </w:r>
    </w:p>
    <w:p w14:paraId="7B48EC2D" w14:textId="77777777" w:rsidR="00947794" w:rsidRDefault="00947794" w:rsidP="00030275">
      <w:pPr>
        <w:contextualSpacing/>
      </w:pPr>
      <w:proofErr w:type="spellStart"/>
      <w:proofErr w:type="gramStart"/>
      <w:r>
        <w:t>Kardash</w:t>
      </w:r>
      <w:proofErr w:type="spellEnd"/>
      <w:r>
        <w:t>, C. A., &amp; Wallace, M. L. (2001).</w:t>
      </w:r>
      <w:proofErr w:type="gramEnd"/>
      <w:r>
        <w:t xml:space="preserve"> The perceptions of science </w:t>
      </w:r>
      <w:proofErr w:type="gramStart"/>
      <w:r>
        <w:t>classes</w:t>
      </w:r>
      <w:proofErr w:type="gramEnd"/>
      <w:r>
        <w:t xml:space="preserve"> survey: </w:t>
      </w:r>
    </w:p>
    <w:p w14:paraId="37996BDD" w14:textId="2DB64A0A" w:rsidR="00947794" w:rsidRDefault="00947794" w:rsidP="00030275">
      <w:pPr>
        <w:ind w:left="720"/>
        <w:contextualSpacing/>
      </w:pPr>
      <w:r>
        <w:t xml:space="preserve">What undergraduate science reform efforts really need to address. </w:t>
      </w:r>
      <w:r>
        <w:rPr>
          <w:i/>
          <w:iCs/>
        </w:rPr>
        <w:t>Journal of Educational Psychology, 93</w:t>
      </w:r>
      <w:r>
        <w:t>, 199</w:t>
      </w:r>
      <w:r w:rsidR="00075DC3">
        <w:t>–</w:t>
      </w:r>
      <w:r>
        <w:t>210.</w:t>
      </w:r>
    </w:p>
    <w:p w14:paraId="15595ED1" w14:textId="5802EF6F" w:rsidR="00D834A2" w:rsidRPr="00D71037" w:rsidRDefault="00D834A2" w:rsidP="00030275">
      <w:pPr>
        <w:pStyle w:val="CommentText"/>
        <w:ind w:left="720" w:hanging="720"/>
        <w:contextualSpacing/>
        <w:rPr>
          <w:sz w:val="24"/>
          <w:szCs w:val="24"/>
        </w:rPr>
      </w:pPr>
      <w:proofErr w:type="gramStart"/>
      <w:r w:rsidRPr="00D71037">
        <w:rPr>
          <w:sz w:val="24"/>
          <w:szCs w:val="24"/>
        </w:rPr>
        <w:t xml:space="preserve">Larose, S., </w:t>
      </w:r>
      <w:proofErr w:type="spellStart"/>
      <w:r w:rsidRPr="00D71037">
        <w:rPr>
          <w:sz w:val="24"/>
          <w:szCs w:val="24"/>
        </w:rPr>
        <w:t>Ratelle</w:t>
      </w:r>
      <w:proofErr w:type="spellEnd"/>
      <w:r w:rsidRPr="00D71037">
        <w:rPr>
          <w:sz w:val="24"/>
          <w:szCs w:val="24"/>
        </w:rPr>
        <w:t xml:space="preserve">, C. F., </w:t>
      </w:r>
      <w:proofErr w:type="spellStart"/>
      <w:r w:rsidRPr="00D71037">
        <w:rPr>
          <w:sz w:val="24"/>
          <w:szCs w:val="24"/>
        </w:rPr>
        <w:t>Guay</w:t>
      </w:r>
      <w:proofErr w:type="spellEnd"/>
      <w:r w:rsidRPr="00D71037">
        <w:rPr>
          <w:sz w:val="24"/>
          <w:szCs w:val="24"/>
        </w:rPr>
        <w:t xml:space="preserve">, F., </w:t>
      </w:r>
      <w:proofErr w:type="spellStart"/>
      <w:r w:rsidRPr="00D71037">
        <w:rPr>
          <w:sz w:val="24"/>
          <w:szCs w:val="24"/>
        </w:rPr>
        <w:t>Senecal</w:t>
      </w:r>
      <w:proofErr w:type="spellEnd"/>
      <w:r w:rsidRPr="00D71037">
        <w:rPr>
          <w:sz w:val="24"/>
          <w:szCs w:val="24"/>
        </w:rPr>
        <w:t>, C., &amp; Harvey, M. (2006).</w:t>
      </w:r>
      <w:proofErr w:type="gramEnd"/>
      <w:r w:rsidRPr="00D71037">
        <w:rPr>
          <w:sz w:val="24"/>
          <w:szCs w:val="24"/>
        </w:rPr>
        <w:t xml:space="preserve"> </w:t>
      </w:r>
      <w:proofErr w:type="gramStart"/>
      <w:r w:rsidRPr="00D71037">
        <w:rPr>
          <w:sz w:val="24"/>
          <w:szCs w:val="24"/>
        </w:rPr>
        <w:t>Trajectories of science self-efficacy and academic and vocational adjustment in science and technology programs.</w:t>
      </w:r>
      <w:proofErr w:type="gramEnd"/>
      <w:r w:rsidRPr="00D71037">
        <w:rPr>
          <w:sz w:val="24"/>
          <w:szCs w:val="24"/>
        </w:rPr>
        <w:t xml:space="preserve"> </w:t>
      </w:r>
      <w:r w:rsidRPr="00D71037">
        <w:rPr>
          <w:i/>
          <w:sz w:val="24"/>
          <w:szCs w:val="24"/>
        </w:rPr>
        <w:t>Educational Research and Evaluation, 12</w:t>
      </w:r>
      <w:r w:rsidRPr="00D71037">
        <w:rPr>
          <w:sz w:val="24"/>
          <w:szCs w:val="24"/>
        </w:rPr>
        <w:t>, 373–393</w:t>
      </w:r>
      <w:r>
        <w:rPr>
          <w:sz w:val="24"/>
          <w:szCs w:val="24"/>
        </w:rPr>
        <w:t>.</w:t>
      </w:r>
    </w:p>
    <w:p w14:paraId="24ED1933" w14:textId="77777777" w:rsidR="00947794" w:rsidRDefault="00947794" w:rsidP="00030275">
      <w:pPr>
        <w:contextualSpacing/>
      </w:pPr>
      <w:proofErr w:type="gramStart"/>
      <w:r>
        <w:t>Lent, R. W., Brown, S. D., &amp; Hackett, G. (1994).</w:t>
      </w:r>
      <w:proofErr w:type="gramEnd"/>
      <w:r>
        <w:t xml:space="preserve"> Toward a unifying social cognitive </w:t>
      </w:r>
    </w:p>
    <w:p w14:paraId="36EC8BA6" w14:textId="77777777" w:rsidR="00947794" w:rsidRDefault="00947794" w:rsidP="00030275">
      <w:pPr>
        <w:ind w:left="720"/>
        <w:contextualSpacing/>
        <w:rPr>
          <w:i/>
          <w:iCs/>
        </w:rPr>
      </w:pPr>
      <w:proofErr w:type="gramStart"/>
      <w:r>
        <w:t>theory</w:t>
      </w:r>
      <w:proofErr w:type="gramEnd"/>
      <w:r>
        <w:t xml:space="preserve"> of career and academic interest, choice, and performance. </w:t>
      </w:r>
      <w:r>
        <w:rPr>
          <w:i/>
          <w:iCs/>
        </w:rPr>
        <w:t xml:space="preserve">Journal of </w:t>
      </w:r>
    </w:p>
    <w:p w14:paraId="2BB63C24" w14:textId="34A0A427" w:rsidR="00947794" w:rsidRDefault="00947794" w:rsidP="00030275">
      <w:pPr>
        <w:ind w:left="720"/>
        <w:contextualSpacing/>
      </w:pPr>
      <w:r>
        <w:rPr>
          <w:i/>
          <w:iCs/>
        </w:rPr>
        <w:t>Vocational Behavior, 45</w:t>
      </w:r>
      <w:r>
        <w:t>, 79</w:t>
      </w:r>
      <w:r w:rsidR="00075DC3">
        <w:t>–</w:t>
      </w:r>
      <w:r>
        <w:t>122.</w:t>
      </w:r>
    </w:p>
    <w:p w14:paraId="092E0CF2" w14:textId="11C63C6B" w:rsidR="00947794" w:rsidRDefault="00947794" w:rsidP="00030275">
      <w:pPr>
        <w:contextualSpacing/>
      </w:pPr>
      <w:proofErr w:type="gramStart"/>
      <w:r>
        <w:t>Lent, R. W., &amp; Hackett, G. (1987).</w:t>
      </w:r>
      <w:proofErr w:type="gramEnd"/>
      <w:r>
        <w:t xml:space="preserve"> Career self</w:t>
      </w:r>
      <w:r w:rsidR="00AA113A">
        <w:t>-</w:t>
      </w:r>
      <w:r>
        <w:t xml:space="preserve">efficacy: Empirical status and future </w:t>
      </w:r>
    </w:p>
    <w:p w14:paraId="46B3478D" w14:textId="7D089CF3" w:rsidR="00947794" w:rsidRDefault="00947794" w:rsidP="00030275">
      <w:pPr>
        <w:ind w:firstLine="720"/>
        <w:contextualSpacing/>
      </w:pPr>
      <w:proofErr w:type="gramStart"/>
      <w:r>
        <w:t>directions</w:t>
      </w:r>
      <w:proofErr w:type="gramEnd"/>
      <w:r>
        <w:t xml:space="preserve">. </w:t>
      </w:r>
      <w:r>
        <w:rPr>
          <w:i/>
          <w:iCs/>
        </w:rPr>
        <w:t>Journal of Vocational Behavior, 30</w:t>
      </w:r>
      <w:r>
        <w:t>, 347</w:t>
      </w:r>
      <w:r w:rsidR="00075DC3">
        <w:t>–</w:t>
      </w:r>
      <w:r>
        <w:t>382.</w:t>
      </w:r>
    </w:p>
    <w:p w14:paraId="66CCC96E" w14:textId="4E7A0C70" w:rsidR="00947794" w:rsidRDefault="00947794" w:rsidP="00030275">
      <w:pPr>
        <w:contextualSpacing/>
      </w:pPr>
      <w:r w:rsidRPr="00D834A2">
        <w:rPr>
          <w:lang w:val="fr-CA"/>
        </w:rPr>
        <w:t xml:space="preserve">Lent, R. W., Lopez, F. G., &amp; </w:t>
      </w:r>
      <w:proofErr w:type="spellStart"/>
      <w:r w:rsidRPr="00D834A2">
        <w:rPr>
          <w:lang w:val="fr-CA"/>
        </w:rPr>
        <w:t>Bieschke</w:t>
      </w:r>
      <w:proofErr w:type="spellEnd"/>
      <w:r w:rsidRPr="00D834A2">
        <w:rPr>
          <w:lang w:val="fr-CA"/>
        </w:rPr>
        <w:t xml:space="preserve">, K. J. (1991). </w:t>
      </w:r>
      <w:r>
        <w:t>Mathematics self</w:t>
      </w:r>
      <w:r w:rsidR="00AA113A">
        <w:t>-</w:t>
      </w:r>
      <w:r>
        <w:t xml:space="preserve">efficacy: Sources </w:t>
      </w:r>
    </w:p>
    <w:p w14:paraId="59587FAA" w14:textId="0A3574F9" w:rsidR="00947794" w:rsidRDefault="00947794" w:rsidP="00030275">
      <w:pPr>
        <w:ind w:left="720"/>
        <w:contextualSpacing/>
      </w:pPr>
      <w:proofErr w:type="gramStart"/>
      <w:r>
        <w:t>and</w:t>
      </w:r>
      <w:proofErr w:type="gramEnd"/>
      <w:r>
        <w:t xml:space="preserve"> relation to science</w:t>
      </w:r>
      <w:r w:rsidR="00AA113A">
        <w:t>-</w:t>
      </w:r>
      <w:r>
        <w:t xml:space="preserve">based career choice. </w:t>
      </w:r>
      <w:proofErr w:type="gramStart"/>
      <w:r>
        <w:rPr>
          <w:i/>
          <w:iCs/>
        </w:rPr>
        <w:t>Journal of Counseling Psychology</w:t>
      </w:r>
      <w:r>
        <w:t xml:space="preserve">, </w:t>
      </w:r>
      <w:r>
        <w:rPr>
          <w:i/>
          <w:iCs/>
        </w:rPr>
        <w:t>38</w:t>
      </w:r>
      <w:r>
        <w:t>, 424</w:t>
      </w:r>
      <w:r w:rsidR="00075DC3">
        <w:t>–</w:t>
      </w:r>
      <w:r>
        <w:t>430.</w:t>
      </w:r>
      <w:proofErr w:type="gramEnd"/>
    </w:p>
    <w:p w14:paraId="0AF793DF" w14:textId="77777777" w:rsidR="00D834A2" w:rsidRPr="00D71037" w:rsidRDefault="00D834A2" w:rsidP="00030275">
      <w:pPr>
        <w:pStyle w:val="CommentText"/>
        <w:tabs>
          <w:tab w:val="left" w:pos="960"/>
        </w:tabs>
        <w:ind w:left="720" w:hanging="720"/>
        <w:contextualSpacing/>
        <w:rPr>
          <w:sz w:val="24"/>
          <w:szCs w:val="24"/>
          <w:lang w:val="en-CA"/>
        </w:rPr>
      </w:pPr>
      <w:proofErr w:type="gramStart"/>
      <w:r w:rsidRPr="00CD0241">
        <w:rPr>
          <w:sz w:val="24"/>
          <w:szCs w:val="24"/>
          <w:lang w:val="en-CA"/>
        </w:rPr>
        <w:t xml:space="preserve">Lent, R. W., Lopez, F. G., </w:t>
      </w:r>
      <w:proofErr w:type="spellStart"/>
      <w:r w:rsidRPr="00CD0241">
        <w:rPr>
          <w:sz w:val="24"/>
          <w:szCs w:val="24"/>
          <w:lang w:val="en-CA"/>
        </w:rPr>
        <w:t>Sheu</w:t>
      </w:r>
      <w:proofErr w:type="spellEnd"/>
      <w:r w:rsidRPr="00CD0241">
        <w:rPr>
          <w:sz w:val="24"/>
          <w:szCs w:val="24"/>
          <w:lang w:val="en-CA"/>
        </w:rPr>
        <w:t>, H., &amp; Lopez, A. M. (2011).</w:t>
      </w:r>
      <w:proofErr w:type="gramEnd"/>
      <w:r w:rsidRPr="00CD0241">
        <w:rPr>
          <w:sz w:val="24"/>
          <w:szCs w:val="24"/>
          <w:lang w:val="en-CA"/>
        </w:rPr>
        <w:t xml:space="preserve"> </w:t>
      </w:r>
      <w:r w:rsidRPr="00D71037">
        <w:rPr>
          <w:sz w:val="24"/>
          <w:szCs w:val="24"/>
          <w:lang w:val="en-CA"/>
        </w:rPr>
        <w:t xml:space="preserve">Social cognitive predictors of the interests and choices of computing majors: Applicability to underrepresented students. </w:t>
      </w:r>
      <w:r w:rsidRPr="00D71037">
        <w:rPr>
          <w:i/>
          <w:sz w:val="24"/>
          <w:szCs w:val="24"/>
          <w:lang w:val="en-CA"/>
        </w:rPr>
        <w:t>Journal of Vocational Behavior, 78</w:t>
      </w:r>
      <w:r w:rsidRPr="00D71037">
        <w:rPr>
          <w:sz w:val="24"/>
          <w:szCs w:val="24"/>
          <w:lang w:val="en-CA"/>
        </w:rPr>
        <w:t>, 184–192.</w:t>
      </w:r>
    </w:p>
    <w:p w14:paraId="6F7BEABA" w14:textId="77777777" w:rsidR="00947794" w:rsidRPr="008947F1" w:rsidRDefault="00947794" w:rsidP="00030275">
      <w:pPr>
        <w:pStyle w:val="BodyText"/>
        <w:spacing w:after="0"/>
        <w:contextualSpacing/>
        <w:rPr>
          <w:bCs/>
        </w:rPr>
      </w:pPr>
      <w:r w:rsidRPr="008947F1">
        <w:rPr>
          <w:bCs/>
          <w:lang w:val="en-CA"/>
        </w:rPr>
        <w:t xml:space="preserve">Mau, W. C. (2003). </w:t>
      </w:r>
      <w:r w:rsidRPr="008947F1">
        <w:rPr>
          <w:bCs/>
        </w:rPr>
        <w:t xml:space="preserve">Factors that influence persistence in science and engineering career </w:t>
      </w:r>
    </w:p>
    <w:p w14:paraId="7FE8E644" w14:textId="4FE0FD02" w:rsidR="00947794" w:rsidRDefault="00947794" w:rsidP="00030275">
      <w:pPr>
        <w:ind w:firstLine="720"/>
        <w:contextualSpacing/>
      </w:pPr>
      <w:proofErr w:type="gramStart"/>
      <w:r>
        <w:lastRenderedPageBreak/>
        <w:t>aspirations</w:t>
      </w:r>
      <w:proofErr w:type="gramEnd"/>
      <w:r>
        <w:t xml:space="preserve">. </w:t>
      </w:r>
      <w:r>
        <w:rPr>
          <w:i/>
          <w:iCs/>
        </w:rPr>
        <w:t>The Career Development Quarterly</w:t>
      </w:r>
      <w:r>
        <w:t xml:space="preserve">, </w:t>
      </w:r>
      <w:r>
        <w:rPr>
          <w:i/>
          <w:iCs/>
        </w:rPr>
        <w:t>51</w:t>
      </w:r>
      <w:r>
        <w:t>, 234</w:t>
      </w:r>
      <w:r w:rsidR="00075DC3">
        <w:t>–</w:t>
      </w:r>
      <w:r>
        <w:t>243.</w:t>
      </w:r>
    </w:p>
    <w:p w14:paraId="6B507F94" w14:textId="55FB3CD0" w:rsidR="00947794" w:rsidRDefault="00947794" w:rsidP="00030275">
      <w:pPr>
        <w:pStyle w:val="Header"/>
        <w:tabs>
          <w:tab w:val="clear" w:pos="4320"/>
          <w:tab w:val="clear" w:pos="8640"/>
        </w:tabs>
        <w:ind w:left="720" w:hanging="720"/>
        <w:contextualSpacing/>
      </w:pPr>
      <w:proofErr w:type="spellStart"/>
      <w:r>
        <w:t>Midgley</w:t>
      </w:r>
      <w:proofErr w:type="spellEnd"/>
      <w:r>
        <w:t xml:space="preserve">, C., Kaplan, A., Middleton, M., </w:t>
      </w:r>
      <w:proofErr w:type="spellStart"/>
      <w:r>
        <w:t>Maehr</w:t>
      </w:r>
      <w:proofErr w:type="spellEnd"/>
      <w:r>
        <w:t xml:space="preserve">, M. L., </w:t>
      </w:r>
      <w:proofErr w:type="spellStart"/>
      <w:r>
        <w:t>Urdan</w:t>
      </w:r>
      <w:proofErr w:type="spellEnd"/>
      <w:r>
        <w:t xml:space="preserve">, T., </w:t>
      </w:r>
      <w:proofErr w:type="spellStart"/>
      <w:r>
        <w:t>Anderman</w:t>
      </w:r>
      <w:proofErr w:type="spellEnd"/>
      <w:r>
        <w:t>, E. M</w:t>
      </w:r>
      <w:proofErr w:type="gramStart"/>
      <w:r>
        <w:t>.,</w:t>
      </w:r>
      <w:r w:rsidR="00C851BE">
        <w:t xml:space="preserve"> . . .</w:t>
      </w:r>
      <w:proofErr w:type="gramEnd"/>
      <w:r w:rsidR="00C851BE">
        <w:t xml:space="preserve"> </w:t>
      </w:r>
      <w:proofErr w:type="spellStart"/>
      <w:r w:rsidR="00C851BE" w:rsidRPr="00C851BE">
        <w:rPr>
          <w:lang w:val="en-US"/>
        </w:rPr>
        <w:t>Roeser</w:t>
      </w:r>
      <w:proofErr w:type="spellEnd"/>
      <w:r w:rsidR="00C851BE">
        <w:rPr>
          <w:lang w:val="en-US"/>
        </w:rPr>
        <w:t>, R.</w:t>
      </w:r>
      <w:r>
        <w:t xml:space="preserve"> (1998). </w:t>
      </w:r>
      <w:proofErr w:type="gramStart"/>
      <w:r>
        <w:t>The development and validation of scales assessing students’ achievement goal orientations.</w:t>
      </w:r>
      <w:proofErr w:type="gramEnd"/>
      <w:r>
        <w:t xml:space="preserve"> </w:t>
      </w:r>
      <w:r>
        <w:rPr>
          <w:i/>
          <w:iCs/>
        </w:rPr>
        <w:t xml:space="preserve">Contemporary Educational Psychology, 23, </w:t>
      </w:r>
      <w:r>
        <w:t>113</w:t>
      </w:r>
      <w:r w:rsidR="00075DC3">
        <w:t>–</w:t>
      </w:r>
      <w:r>
        <w:t xml:space="preserve">131. </w:t>
      </w:r>
    </w:p>
    <w:p w14:paraId="0A3B3745" w14:textId="10699110" w:rsidR="00947794" w:rsidRDefault="00947794" w:rsidP="00030275">
      <w:pPr>
        <w:contextualSpacing/>
      </w:pPr>
      <w:proofErr w:type="spellStart"/>
      <w:proofErr w:type="gramStart"/>
      <w:r>
        <w:t>Midgley</w:t>
      </w:r>
      <w:proofErr w:type="spellEnd"/>
      <w:r>
        <w:t xml:space="preserve">, C., </w:t>
      </w:r>
      <w:proofErr w:type="spellStart"/>
      <w:r>
        <w:t>Maehr</w:t>
      </w:r>
      <w:proofErr w:type="spellEnd"/>
      <w:r>
        <w:t xml:space="preserve">, M. L., Hicks, L., </w:t>
      </w:r>
      <w:proofErr w:type="spellStart"/>
      <w:r>
        <w:t>Roeser</w:t>
      </w:r>
      <w:proofErr w:type="spellEnd"/>
      <w:r>
        <w:t xml:space="preserve">, R., </w:t>
      </w:r>
      <w:proofErr w:type="spellStart"/>
      <w:r>
        <w:t>Urdan</w:t>
      </w:r>
      <w:proofErr w:type="spellEnd"/>
      <w:r>
        <w:t xml:space="preserve">, T., </w:t>
      </w:r>
      <w:r w:rsidR="009D79AC">
        <w:t xml:space="preserve">&amp; </w:t>
      </w:r>
      <w:proofErr w:type="spellStart"/>
      <w:r>
        <w:t>Anderman</w:t>
      </w:r>
      <w:proofErr w:type="spellEnd"/>
      <w:r>
        <w:t>, E. M. (1997).</w:t>
      </w:r>
      <w:proofErr w:type="gramEnd"/>
      <w:r>
        <w:t xml:space="preserve"> </w:t>
      </w:r>
    </w:p>
    <w:p w14:paraId="1CC41820" w14:textId="77777777" w:rsidR="00947794" w:rsidRDefault="00947794" w:rsidP="00030275">
      <w:pPr>
        <w:ind w:left="720"/>
        <w:contextualSpacing/>
      </w:pPr>
      <w:proofErr w:type="gramStart"/>
      <w:r>
        <w:rPr>
          <w:i/>
          <w:iCs/>
        </w:rPr>
        <w:t>Patterns of Adaptive Learning Survey (PALS).</w:t>
      </w:r>
      <w:proofErr w:type="gramEnd"/>
      <w:r>
        <w:rPr>
          <w:i/>
          <w:iCs/>
        </w:rPr>
        <w:t xml:space="preserve"> </w:t>
      </w:r>
      <w:r>
        <w:t xml:space="preserve">Ann Arbor, MI: University of Michigan. </w:t>
      </w:r>
    </w:p>
    <w:p w14:paraId="51D4A19A" w14:textId="058E33E8" w:rsidR="00947794" w:rsidRDefault="00947794" w:rsidP="00030275">
      <w:pPr>
        <w:contextualSpacing/>
      </w:pPr>
      <w:proofErr w:type="spellStart"/>
      <w:proofErr w:type="gramStart"/>
      <w:r>
        <w:t>Multon</w:t>
      </w:r>
      <w:proofErr w:type="spellEnd"/>
      <w:r>
        <w:t>, K. D., Brown, S. D., &amp; Lent, R. W. (1991).</w:t>
      </w:r>
      <w:proofErr w:type="gramEnd"/>
      <w:r>
        <w:t xml:space="preserve"> Relation of self</w:t>
      </w:r>
      <w:r w:rsidR="00AA113A">
        <w:t>-</w:t>
      </w:r>
      <w:r>
        <w:t xml:space="preserve">efficacy beliefs to </w:t>
      </w:r>
    </w:p>
    <w:p w14:paraId="654865B0" w14:textId="6DE6188F" w:rsidR="00947794" w:rsidRDefault="00947794" w:rsidP="00030275">
      <w:pPr>
        <w:ind w:left="720"/>
        <w:contextualSpacing/>
      </w:pPr>
      <w:proofErr w:type="gramStart"/>
      <w:r>
        <w:t>academic</w:t>
      </w:r>
      <w:proofErr w:type="gramEnd"/>
      <w:r>
        <w:t xml:space="preserve"> outcomes: A meta</w:t>
      </w:r>
      <w:r w:rsidR="00AA113A">
        <w:t>-</w:t>
      </w:r>
      <w:r>
        <w:t xml:space="preserve">analytic investigation. </w:t>
      </w:r>
      <w:proofErr w:type="gramStart"/>
      <w:r>
        <w:rPr>
          <w:i/>
          <w:iCs/>
        </w:rPr>
        <w:t>Journal of Counseling Psychology, 38</w:t>
      </w:r>
      <w:r>
        <w:t>, 30</w:t>
      </w:r>
      <w:r w:rsidR="00075DC3">
        <w:t>–</w:t>
      </w:r>
      <w:r>
        <w:t>38.</w:t>
      </w:r>
      <w:proofErr w:type="gramEnd"/>
    </w:p>
    <w:p w14:paraId="36B668E5" w14:textId="785EDECC" w:rsidR="00A57FDC" w:rsidRPr="00D71037" w:rsidRDefault="00A57FDC" w:rsidP="00030275">
      <w:pPr>
        <w:autoSpaceDE w:val="0"/>
        <w:autoSpaceDN w:val="0"/>
        <w:adjustRightInd w:val="0"/>
        <w:ind w:left="720" w:hanging="720"/>
        <w:contextualSpacing/>
        <w:rPr>
          <w:rFonts w:eastAsiaTheme="minorHAnsi"/>
          <w:lang w:val="en-CA"/>
        </w:rPr>
      </w:pPr>
      <w:proofErr w:type="gramStart"/>
      <w:r w:rsidRPr="00D71037">
        <w:rPr>
          <w:rFonts w:eastAsiaTheme="minorHAnsi"/>
          <w:lang w:val="en-CA"/>
        </w:rPr>
        <w:t>National Science Foundation.</w:t>
      </w:r>
      <w:proofErr w:type="gramEnd"/>
      <w:r w:rsidRPr="00D71037">
        <w:rPr>
          <w:rFonts w:eastAsiaTheme="minorHAnsi"/>
          <w:lang w:val="en-CA"/>
        </w:rPr>
        <w:t xml:space="preserve"> (2013). </w:t>
      </w:r>
      <w:r w:rsidRPr="00D71037">
        <w:rPr>
          <w:rFonts w:eastAsiaTheme="minorHAnsi"/>
          <w:i/>
          <w:iCs/>
          <w:lang w:val="en-CA"/>
        </w:rPr>
        <w:t>Women, minorities, and persons with disabilities in science and engineering: 2013</w:t>
      </w:r>
      <w:r w:rsidRPr="00D71037">
        <w:rPr>
          <w:rFonts w:eastAsiaTheme="minorHAnsi"/>
          <w:i/>
          <w:lang w:val="en-CA"/>
        </w:rPr>
        <w:t xml:space="preserve"> (NSF 13</w:t>
      </w:r>
      <w:r w:rsidR="00AA113A">
        <w:rPr>
          <w:rFonts w:eastAsiaTheme="minorHAnsi"/>
          <w:i/>
          <w:lang w:val="en-CA"/>
        </w:rPr>
        <w:t>-</w:t>
      </w:r>
      <w:r w:rsidRPr="00D71037">
        <w:rPr>
          <w:rFonts w:eastAsiaTheme="minorHAnsi"/>
          <w:i/>
          <w:lang w:val="en-CA"/>
        </w:rPr>
        <w:t xml:space="preserve">304). </w:t>
      </w:r>
      <w:r w:rsidRPr="00D71037">
        <w:rPr>
          <w:rFonts w:eastAsiaTheme="minorHAnsi"/>
          <w:lang w:val="en-CA"/>
        </w:rPr>
        <w:t>Arlington, VA: Author.</w:t>
      </w:r>
    </w:p>
    <w:p w14:paraId="4889A02B" w14:textId="7840977C" w:rsidR="00EF30FB" w:rsidRPr="00EF30FB" w:rsidRDefault="00EF30FB" w:rsidP="00030275">
      <w:pPr>
        <w:ind w:left="567" w:hanging="567"/>
        <w:contextualSpacing/>
      </w:pPr>
      <w:proofErr w:type="spellStart"/>
      <w:proofErr w:type="gramStart"/>
      <w:r>
        <w:t>Pajares</w:t>
      </w:r>
      <w:proofErr w:type="spellEnd"/>
      <w:r>
        <w:t>, F., &amp; Miller, D. M. (1995).</w:t>
      </w:r>
      <w:proofErr w:type="gramEnd"/>
      <w:r>
        <w:t xml:space="preserve"> Mathematics self-efficacy and mathematics performances: The need for specificity of assessment. </w:t>
      </w:r>
      <w:proofErr w:type="gramStart"/>
      <w:r w:rsidRPr="00CD0241">
        <w:rPr>
          <w:i/>
        </w:rPr>
        <w:t>Journal of Counseling Psychology, 42</w:t>
      </w:r>
      <w:r>
        <w:t>, 190–</w:t>
      </w:r>
      <w:r w:rsidRPr="00EF30FB">
        <w:t>198</w:t>
      </w:r>
      <w:r>
        <w:t>.</w:t>
      </w:r>
      <w:proofErr w:type="gramEnd"/>
    </w:p>
    <w:p w14:paraId="149AB0D1" w14:textId="392FC63A" w:rsidR="00947794" w:rsidRDefault="00947794" w:rsidP="00030275">
      <w:pPr>
        <w:contextualSpacing/>
        <w:rPr>
          <w:i/>
          <w:iCs/>
        </w:rPr>
      </w:pPr>
      <w:proofErr w:type="spellStart"/>
      <w:proofErr w:type="gramStart"/>
      <w:r>
        <w:t>Pajares</w:t>
      </w:r>
      <w:proofErr w:type="spellEnd"/>
      <w:r>
        <w:t>, F. (1996).</w:t>
      </w:r>
      <w:proofErr w:type="gramEnd"/>
      <w:r>
        <w:t xml:space="preserve"> </w:t>
      </w:r>
      <w:proofErr w:type="gramStart"/>
      <w:r>
        <w:t>Self</w:t>
      </w:r>
      <w:r w:rsidR="00AA113A">
        <w:t>-</w:t>
      </w:r>
      <w:r>
        <w:t>efficacy beliefs in academic settings.</w:t>
      </w:r>
      <w:proofErr w:type="gramEnd"/>
      <w:r>
        <w:t xml:space="preserve"> </w:t>
      </w:r>
      <w:r>
        <w:rPr>
          <w:i/>
          <w:iCs/>
        </w:rPr>
        <w:t xml:space="preserve">Review of Educational </w:t>
      </w:r>
    </w:p>
    <w:p w14:paraId="0D7E0A3C" w14:textId="78D48066" w:rsidR="00947794" w:rsidRDefault="00947794" w:rsidP="00030275">
      <w:pPr>
        <w:ind w:firstLine="720"/>
        <w:contextualSpacing/>
      </w:pPr>
      <w:r>
        <w:rPr>
          <w:i/>
          <w:iCs/>
        </w:rPr>
        <w:t>Research</w:t>
      </w:r>
      <w:r>
        <w:t>, 66, 543</w:t>
      </w:r>
      <w:r w:rsidR="00075DC3">
        <w:t>–</w:t>
      </w:r>
      <w:r>
        <w:t>578.</w:t>
      </w:r>
    </w:p>
    <w:p w14:paraId="2E1F96FB" w14:textId="77777777" w:rsidR="00947794" w:rsidRDefault="00947794" w:rsidP="00030275">
      <w:pPr>
        <w:contextualSpacing/>
      </w:pPr>
      <w:proofErr w:type="spellStart"/>
      <w:r w:rsidRPr="008947F1">
        <w:rPr>
          <w:lang w:val="fr-CA"/>
        </w:rPr>
        <w:t>Pekrun</w:t>
      </w:r>
      <w:proofErr w:type="spellEnd"/>
      <w:r w:rsidRPr="008947F1">
        <w:rPr>
          <w:lang w:val="fr-CA"/>
        </w:rPr>
        <w:t xml:space="preserve">, R., Elliot, A. J., &amp; </w:t>
      </w:r>
      <w:proofErr w:type="spellStart"/>
      <w:r w:rsidRPr="008947F1">
        <w:rPr>
          <w:lang w:val="fr-CA"/>
        </w:rPr>
        <w:t>Maier</w:t>
      </w:r>
      <w:proofErr w:type="spellEnd"/>
      <w:r w:rsidRPr="008947F1">
        <w:rPr>
          <w:lang w:val="fr-CA"/>
        </w:rPr>
        <w:t xml:space="preserve">, M. A. (2006). </w:t>
      </w:r>
      <w:r>
        <w:t xml:space="preserve">Achievement goals and discrete </w:t>
      </w:r>
    </w:p>
    <w:p w14:paraId="0CEFF95F" w14:textId="77777777" w:rsidR="00947794" w:rsidRDefault="00947794" w:rsidP="00030275">
      <w:pPr>
        <w:ind w:left="720"/>
        <w:contextualSpacing/>
        <w:rPr>
          <w:i/>
          <w:iCs/>
        </w:rPr>
      </w:pPr>
      <w:proofErr w:type="gramStart"/>
      <w:r>
        <w:t>achievement</w:t>
      </w:r>
      <w:proofErr w:type="gramEnd"/>
      <w:r>
        <w:t xml:space="preserve"> emotions: A theoretical model and prospective test. </w:t>
      </w:r>
      <w:r>
        <w:rPr>
          <w:i/>
          <w:iCs/>
        </w:rPr>
        <w:t xml:space="preserve">Journal of </w:t>
      </w:r>
    </w:p>
    <w:p w14:paraId="74611AEA" w14:textId="2BF83672" w:rsidR="001B6F0D" w:rsidRDefault="00947794" w:rsidP="00030275">
      <w:pPr>
        <w:ind w:left="720"/>
        <w:contextualSpacing/>
      </w:pPr>
      <w:r>
        <w:rPr>
          <w:i/>
          <w:iCs/>
        </w:rPr>
        <w:t>Educational Psychology, 98</w:t>
      </w:r>
      <w:r>
        <w:t>, 583</w:t>
      </w:r>
      <w:r w:rsidR="00075DC3">
        <w:t>–</w:t>
      </w:r>
      <w:r>
        <w:t>597.</w:t>
      </w:r>
    </w:p>
    <w:p w14:paraId="11CF59AD" w14:textId="4C527499" w:rsidR="001B6F0D" w:rsidRDefault="001B6F0D" w:rsidP="00030275">
      <w:pPr>
        <w:ind w:left="709" w:hanging="709"/>
        <w:contextualSpacing/>
      </w:pPr>
      <w:proofErr w:type="spellStart"/>
      <w:r w:rsidRPr="001B6F0D">
        <w:t>Pekrun</w:t>
      </w:r>
      <w:proofErr w:type="spellEnd"/>
      <w:r w:rsidRPr="001B6F0D">
        <w:t xml:space="preserve">, R. H., Hall, N. C., Perry, R. P., &amp; Goetz, T. (in press). Boredom and academic achievement: Testing a model of reciprocal causation. </w:t>
      </w:r>
      <w:proofErr w:type="gramStart"/>
      <w:r w:rsidRPr="00CD0241">
        <w:rPr>
          <w:i/>
        </w:rPr>
        <w:t>Journal of Educational Psychology</w:t>
      </w:r>
      <w:r w:rsidRPr="001B6F0D">
        <w:t>.</w:t>
      </w:r>
      <w:proofErr w:type="gramEnd"/>
    </w:p>
    <w:p w14:paraId="6074AF11" w14:textId="77777777" w:rsidR="00947794" w:rsidRDefault="00947794" w:rsidP="00030275">
      <w:pPr>
        <w:contextualSpacing/>
        <w:rPr>
          <w:rStyle w:val="text"/>
        </w:rPr>
      </w:pPr>
      <w:proofErr w:type="spellStart"/>
      <w:r>
        <w:t>Pintrich</w:t>
      </w:r>
      <w:proofErr w:type="spellEnd"/>
      <w:r>
        <w:t xml:space="preserve">, P. R. (2003). </w:t>
      </w:r>
      <w:r>
        <w:rPr>
          <w:rStyle w:val="text"/>
          <w:rFonts w:eastAsiaTheme="majorEastAsia"/>
        </w:rPr>
        <w:t xml:space="preserve">A Motivational science perspective on the role of student </w:t>
      </w:r>
    </w:p>
    <w:p w14:paraId="776D05C0" w14:textId="2F2D7D0E" w:rsidR="00947794" w:rsidRDefault="00947794" w:rsidP="00030275">
      <w:pPr>
        <w:ind w:left="720"/>
        <w:contextualSpacing/>
      </w:pPr>
      <w:proofErr w:type="gramStart"/>
      <w:r>
        <w:rPr>
          <w:rStyle w:val="text"/>
          <w:rFonts w:eastAsiaTheme="majorEastAsia"/>
        </w:rPr>
        <w:t>motivation</w:t>
      </w:r>
      <w:proofErr w:type="gramEnd"/>
      <w:r>
        <w:rPr>
          <w:rStyle w:val="text"/>
          <w:rFonts w:eastAsiaTheme="majorEastAsia"/>
        </w:rPr>
        <w:t xml:space="preserve"> in learning and teaching contexts. </w:t>
      </w:r>
      <w:r>
        <w:rPr>
          <w:rStyle w:val="text"/>
          <w:rFonts w:eastAsiaTheme="majorEastAsia"/>
          <w:i/>
          <w:iCs/>
        </w:rPr>
        <w:t>Journal of Educational Psychology</w:t>
      </w:r>
      <w:r>
        <w:rPr>
          <w:rStyle w:val="text"/>
          <w:rFonts w:eastAsiaTheme="majorEastAsia"/>
        </w:rPr>
        <w:t xml:space="preserve">, </w:t>
      </w:r>
      <w:r>
        <w:rPr>
          <w:rStyle w:val="text"/>
          <w:rFonts w:eastAsiaTheme="majorEastAsia"/>
          <w:i/>
          <w:iCs/>
        </w:rPr>
        <w:t>95</w:t>
      </w:r>
      <w:r>
        <w:rPr>
          <w:rStyle w:val="text"/>
          <w:rFonts w:eastAsiaTheme="majorEastAsia"/>
        </w:rPr>
        <w:t>, 667</w:t>
      </w:r>
      <w:r w:rsidR="00075DC3">
        <w:rPr>
          <w:rStyle w:val="text"/>
          <w:rFonts w:eastAsiaTheme="majorEastAsia"/>
        </w:rPr>
        <w:t>–</w:t>
      </w:r>
      <w:r>
        <w:rPr>
          <w:rStyle w:val="text"/>
          <w:rFonts w:eastAsiaTheme="majorEastAsia"/>
        </w:rPr>
        <w:t>686.</w:t>
      </w:r>
    </w:p>
    <w:p w14:paraId="6CD27B25" w14:textId="77777777" w:rsidR="00947794" w:rsidRDefault="00947794" w:rsidP="00030275">
      <w:pPr>
        <w:pStyle w:val="Header"/>
        <w:tabs>
          <w:tab w:val="clear" w:pos="4320"/>
          <w:tab w:val="clear" w:pos="8640"/>
        </w:tabs>
        <w:contextualSpacing/>
        <w:rPr>
          <w:i/>
          <w:iCs/>
          <w:lang w:val="en-US"/>
        </w:rPr>
      </w:pPr>
      <w:proofErr w:type="spellStart"/>
      <w:proofErr w:type="gramStart"/>
      <w:r>
        <w:rPr>
          <w:lang w:val="en-US"/>
        </w:rPr>
        <w:t>Pintrich</w:t>
      </w:r>
      <w:proofErr w:type="spellEnd"/>
      <w:r>
        <w:rPr>
          <w:lang w:val="en-US"/>
        </w:rPr>
        <w:t xml:space="preserve"> P. R., Smith D., Garcia T., &amp; </w:t>
      </w:r>
      <w:proofErr w:type="spellStart"/>
      <w:r>
        <w:rPr>
          <w:lang w:val="en-US"/>
        </w:rPr>
        <w:t>McKeachie</w:t>
      </w:r>
      <w:proofErr w:type="spellEnd"/>
      <w:r>
        <w:rPr>
          <w:lang w:val="en-US"/>
        </w:rPr>
        <w:t>, W. (1991).</w:t>
      </w:r>
      <w:proofErr w:type="gramEnd"/>
      <w:r>
        <w:rPr>
          <w:lang w:val="en-US"/>
        </w:rPr>
        <w:t xml:space="preserve"> </w:t>
      </w:r>
      <w:r>
        <w:rPr>
          <w:i/>
          <w:iCs/>
          <w:lang w:val="en-US"/>
        </w:rPr>
        <w:t xml:space="preserve">A manual for the use of the </w:t>
      </w:r>
    </w:p>
    <w:p w14:paraId="61CB3BB1" w14:textId="51951351" w:rsidR="00947794" w:rsidRDefault="00947794" w:rsidP="00030275">
      <w:pPr>
        <w:ind w:left="720"/>
        <w:contextualSpacing/>
      </w:pPr>
      <w:proofErr w:type="gramStart"/>
      <w:r>
        <w:rPr>
          <w:i/>
          <w:iCs/>
        </w:rPr>
        <w:t>motivated</w:t>
      </w:r>
      <w:proofErr w:type="gramEnd"/>
      <w:r>
        <w:rPr>
          <w:i/>
          <w:iCs/>
        </w:rPr>
        <w:t xml:space="preserve"> strategies for learning questionnaire</w:t>
      </w:r>
      <w:r>
        <w:t xml:space="preserve">. </w:t>
      </w:r>
      <w:proofErr w:type="gramStart"/>
      <w:r>
        <w:t>Technical report 91</w:t>
      </w:r>
      <w:r w:rsidR="00AA113A">
        <w:t>-</w:t>
      </w:r>
      <w:r>
        <w:t>B</w:t>
      </w:r>
      <w:r w:rsidR="00AA113A">
        <w:t>-</w:t>
      </w:r>
      <w:r>
        <w:t>004.</w:t>
      </w:r>
      <w:proofErr w:type="gramEnd"/>
      <w:r>
        <w:t xml:space="preserve"> Ann Arbor, MI: The Regents of the University of Michigan. </w:t>
      </w:r>
    </w:p>
    <w:p w14:paraId="4CBDDBE1" w14:textId="77777777" w:rsidR="00947794" w:rsidRDefault="00947794" w:rsidP="00030275">
      <w:pPr>
        <w:contextualSpacing/>
      </w:pPr>
      <w:proofErr w:type="gramStart"/>
      <w:r>
        <w:t>Pritchard, M. E., &amp; Wilson, G. S. (2003).</w:t>
      </w:r>
      <w:proofErr w:type="gramEnd"/>
      <w:r>
        <w:t xml:space="preserve"> Using emotional and social factors to predict </w:t>
      </w:r>
    </w:p>
    <w:p w14:paraId="2AA913C4" w14:textId="5F12E862" w:rsidR="00947794" w:rsidRDefault="00947794" w:rsidP="00030275">
      <w:pPr>
        <w:ind w:firstLine="720"/>
        <w:contextualSpacing/>
      </w:pPr>
      <w:proofErr w:type="gramStart"/>
      <w:r>
        <w:t>student</w:t>
      </w:r>
      <w:proofErr w:type="gramEnd"/>
      <w:r>
        <w:t xml:space="preserve"> success. </w:t>
      </w:r>
      <w:r>
        <w:rPr>
          <w:i/>
          <w:iCs/>
        </w:rPr>
        <w:t>Journal of College Student Development, 44</w:t>
      </w:r>
      <w:r>
        <w:t>, 18</w:t>
      </w:r>
      <w:r w:rsidR="00075DC3">
        <w:t>–</w:t>
      </w:r>
      <w:r>
        <w:t>28.</w:t>
      </w:r>
    </w:p>
    <w:p w14:paraId="676D1966" w14:textId="788AE1D1" w:rsidR="003A4085" w:rsidRPr="00CD0241" w:rsidRDefault="003A4085" w:rsidP="00030275">
      <w:pPr>
        <w:pStyle w:val="CommentText"/>
        <w:ind w:left="720" w:hanging="720"/>
        <w:contextualSpacing/>
        <w:rPr>
          <w:sz w:val="24"/>
          <w:szCs w:val="24"/>
        </w:rPr>
      </w:pPr>
      <w:proofErr w:type="gramStart"/>
      <w:r w:rsidRPr="00D71037">
        <w:rPr>
          <w:sz w:val="24"/>
          <w:szCs w:val="24"/>
        </w:rPr>
        <w:t>Reeve, J. (2009).</w:t>
      </w:r>
      <w:proofErr w:type="gramEnd"/>
      <w:r w:rsidRPr="00D71037">
        <w:rPr>
          <w:sz w:val="24"/>
          <w:szCs w:val="24"/>
        </w:rPr>
        <w:t xml:space="preserve"> Why teachers adopt a controlling motivating style toward students and how they can become more autonomy supportive. </w:t>
      </w:r>
      <w:r w:rsidRPr="00D71037">
        <w:rPr>
          <w:i/>
          <w:sz w:val="24"/>
          <w:szCs w:val="24"/>
        </w:rPr>
        <w:t>Educational Psychologist, 44</w:t>
      </w:r>
      <w:r w:rsidRPr="00D71037">
        <w:rPr>
          <w:sz w:val="24"/>
          <w:szCs w:val="24"/>
        </w:rPr>
        <w:t>, 159–175.</w:t>
      </w:r>
    </w:p>
    <w:p w14:paraId="0A2FA24D" w14:textId="49681140" w:rsidR="003A4085" w:rsidRPr="00CD0241" w:rsidRDefault="003A4085" w:rsidP="00030275">
      <w:pPr>
        <w:pStyle w:val="CommentText"/>
        <w:ind w:left="720" w:hanging="720"/>
        <w:contextualSpacing/>
        <w:rPr>
          <w:sz w:val="24"/>
          <w:szCs w:val="24"/>
        </w:rPr>
      </w:pPr>
      <w:r w:rsidRPr="00D71037">
        <w:rPr>
          <w:sz w:val="24"/>
          <w:szCs w:val="24"/>
        </w:rPr>
        <w:t xml:space="preserve">Reeve, J., Jang, H., </w:t>
      </w:r>
      <w:proofErr w:type="spellStart"/>
      <w:r w:rsidRPr="00D71037">
        <w:rPr>
          <w:sz w:val="24"/>
          <w:szCs w:val="24"/>
        </w:rPr>
        <w:t>Carrell</w:t>
      </w:r>
      <w:proofErr w:type="spellEnd"/>
      <w:r w:rsidRPr="00D71037">
        <w:rPr>
          <w:sz w:val="24"/>
          <w:szCs w:val="24"/>
        </w:rPr>
        <w:t xml:space="preserve">, D., </w:t>
      </w:r>
      <w:proofErr w:type="spellStart"/>
      <w:r w:rsidRPr="00D71037">
        <w:rPr>
          <w:sz w:val="24"/>
          <w:szCs w:val="24"/>
        </w:rPr>
        <w:t>Barch</w:t>
      </w:r>
      <w:proofErr w:type="spellEnd"/>
      <w:r w:rsidRPr="00D71037">
        <w:rPr>
          <w:sz w:val="24"/>
          <w:szCs w:val="24"/>
        </w:rPr>
        <w:t xml:space="preserve">, J., &amp; </w:t>
      </w:r>
      <w:proofErr w:type="spellStart"/>
      <w:r w:rsidRPr="00D71037">
        <w:rPr>
          <w:sz w:val="24"/>
          <w:szCs w:val="24"/>
        </w:rPr>
        <w:t>Jeon</w:t>
      </w:r>
      <w:proofErr w:type="spellEnd"/>
      <w:r w:rsidRPr="00D71037">
        <w:rPr>
          <w:sz w:val="24"/>
          <w:szCs w:val="24"/>
        </w:rPr>
        <w:t xml:space="preserve">, S. (2004). </w:t>
      </w:r>
      <w:proofErr w:type="gramStart"/>
      <w:r w:rsidRPr="00D71037">
        <w:rPr>
          <w:sz w:val="24"/>
          <w:szCs w:val="24"/>
        </w:rPr>
        <w:t>Enhancing high school students’ engagement by increasing their teachers’ autonomy support.</w:t>
      </w:r>
      <w:proofErr w:type="gramEnd"/>
      <w:r w:rsidRPr="00D71037">
        <w:rPr>
          <w:sz w:val="24"/>
          <w:szCs w:val="24"/>
        </w:rPr>
        <w:t xml:space="preserve"> </w:t>
      </w:r>
      <w:r w:rsidRPr="00D71037">
        <w:rPr>
          <w:i/>
          <w:sz w:val="24"/>
          <w:szCs w:val="24"/>
        </w:rPr>
        <w:t>Motivation and Emotion, 28</w:t>
      </w:r>
      <w:r w:rsidRPr="00D71037">
        <w:rPr>
          <w:sz w:val="24"/>
          <w:szCs w:val="24"/>
        </w:rPr>
        <w:t>, 147–169</w:t>
      </w:r>
      <w:r>
        <w:rPr>
          <w:sz w:val="24"/>
          <w:szCs w:val="24"/>
        </w:rPr>
        <w:t>.</w:t>
      </w:r>
    </w:p>
    <w:p w14:paraId="3800350A" w14:textId="77777777" w:rsidR="00A57FDC" w:rsidRPr="00D71037" w:rsidRDefault="00A57FDC" w:rsidP="00030275">
      <w:pPr>
        <w:pStyle w:val="CommentText"/>
        <w:ind w:left="720" w:hanging="720"/>
        <w:contextualSpacing/>
        <w:rPr>
          <w:sz w:val="24"/>
          <w:szCs w:val="24"/>
          <w:lang w:val="en-CA"/>
        </w:rPr>
      </w:pPr>
      <w:proofErr w:type="spellStart"/>
      <w:proofErr w:type="gramStart"/>
      <w:r w:rsidRPr="00D71037">
        <w:rPr>
          <w:sz w:val="24"/>
          <w:szCs w:val="24"/>
          <w:lang w:val="en-CA"/>
        </w:rPr>
        <w:t>Riegle</w:t>
      </w:r>
      <w:proofErr w:type="spellEnd"/>
      <w:r w:rsidRPr="00D71037">
        <w:rPr>
          <w:sz w:val="24"/>
          <w:szCs w:val="24"/>
          <w:lang w:val="en-CA"/>
        </w:rPr>
        <w:t>-Crumb, C., Moore, C., &amp; Ramos-Wada, A. (2011).</w:t>
      </w:r>
      <w:proofErr w:type="gramEnd"/>
      <w:r w:rsidRPr="00D71037">
        <w:rPr>
          <w:sz w:val="24"/>
          <w:szCs w:val="24"/>
          <w:lang w:val="en-CA"/>
        </w:rPr>
        <w:t xml:space="preserve"> Who wants to have a career in science or math? </w:t>
      </w:r>
      <w:proofErr w:type="gramStart"/>
      <w:r w:rsidRPr="00D71037">
        <w:rPr>
          <w:sz w:val="24"/>
          <w:szCs w:val="24"/>
          <w:lang w:val="en-CA"/>
        </w:rPr>
        <w:t>Exploring adolescents’ future aspirations by gender and race/ethnicity.</w:t>
      </w:r>
      <w:proofErr w:type="gramEnd"/>
      <w:r w:rsidRPr="00D71037">
        <w:rPr>
          <w:sz w:val="24"/>
          <w:szCs w:val="24"/>
          <w:lang w:val="en-CA"/>
        </w:rPr>
        <w:t xml:space="preserve"> </w:t>
      </w:r>
      <w:r w:rsidRPr="00D71037">
        <w:rPr>
          <w:i/>
          <w:sz w:val="24"/>
          <w:szCs w:val="24"/>
          <w:lang w:val="en-CA"/>
        </w:rPr>
        <w:t>Science Education, 95</w:t>
      </w:r>
      <w:r w:rsidRPr="00D71037">
        <w:rPr>
          <w:sz w:val="24"/>
          <w:szCs w:val="24"/>
          <w:lang w:val="en-CA"/>
        </w:rPr>
        <w:t>, 458–476.</w:t>
      </w:r>
    </w:p>
    <w:p w14:paraId="656503D8" w14:textId="608AC1D8" w:rsidR="00947794" w:rsidRDefault="00947794" w:rsidP="00030275">
      <w:pPr>
        <w:ind w:left="720" w:hanging="720"/>
        <w:contextualSpacing/>
      </w:pPr>
      <w:proofErr w:type="spellStart"/>
      <w:proofErr w:type="gramStart"/>
      <w:r>
        <w:t>Roeser</w:t>
      </w:r>
      <w:proofErr w:type="spellEnd"/>
      <w:r>
        <w:t xml:space="preserve">, R. W., </w:t>
      </w:r>
      <w:proofErr w:type="spellStart"/>
      <w:r>
        <w:t>Midgley</w:t>
      </w:r>
      <w:proofErr w:type="spellEnd"/>
      <w:r>
        <w:t xml:space="preserve">, C., &amp; </w:t>
      </w:r>
      <w:proofErr w:type="spellStart"/>
      <w:r>
        <w:t>Urdan</w:t>
      </w:r>
      <w:proofErr w:type="spellEnd"/>
      <w:r>
        <w:t>, T. C. (1996).</w:t>
      </w:r>
      <w:proofErr w:type="gramEnd"/>
      <w:r>
        <w:t xml:space="preserve"> Perceptions of the school psychological environment and early adolescents’ psychological and behavioral functioning in school: The mediating role of goals and belonging. </w:t>
      </w:r>
      <w:r>
        <w:rPr>
          <w:i/>
          <w:iCs/>
        </w:rPr>
        <w:t>Journal of Educational Psychology</w:t>
      </w:r>
      <w:r>
        <w:t xml:space="preserve">, </w:t>
      </w:r>
      <w:r>
        <w:rPr>
          <w:i/>
          <w:iCs/>
        </w:rPr>
        <w:t>88</w:t>
      </w:r>
      <w:r>
        <w:t>, 408</w:t>
      </w:r>
      <w:r w:rsidR="00075DC3">
        <w:t>–</w:t>
      </w:r>
      <w:r>
        <w:t>422.</w:t>
      </w:r>
    </w:p>
    <w:p w14:paraId="20225B6E" w14:textId="31B1112B" w:rsidR="00947794" w:rsidRDefault="00947794" w:rsidP="00030275">
      <w:pPr>
        <w:ind w:left="720" w:hanging="720"/>
        <w:contextualSpacing/>
      </w:pPr>
      <w:proofErr w:type="spellStart"/>
      <w:r w:rsidRPr="00147A2A">
        <w:t>Rosenfield</w:t>
      </w:r>
      <w:proofErr w:type="spellEnd"/>
      <w:r w:rsidRPr="00147A2A">
        <w:t xml:space="preserve">, S., </w:t>
      </w:r>
      <w:proofErr w:type="spellStart"/>
      <w:r w:rsidRPr="00147A2A">
        <w:t>Dedic</w:t>
      </w:r>
      <w:proofErr w:type="spellEnd"/>
      <w:r w:rsidRPr="00147A2A">
        <w:t xml:space="preserve">, H., </w:t>
      </w:r>
      <w:proofErr w:type="spellStart"/>
      <w:r w:rsidRPr="00147A2A">
        <w:t>Dickie</w:t>
      </w:r>
      <w:proofErr w:type="spellEnd"/>
      <w:r w:rsidRPr="00147A2A">
        <w:t xml:space="preserve">, L., </w:t>
      </w:r>
      <w:proofErr w:type="spellStart"/>
      <w:r w:rsidRPr="00147A2A">
        <w:t>Rosenfield</w:t>
      </w:r>
      <w:proofErr w:type="spellEnd"/>
      <w:r w:rsidRPr="00147A2A">
        <w:t xml:space="preserve">, E., </w:t>
      </w:r>
      <w:proofErr w:type="spellStart"/>
      <w:r w:rsidRPr="00147A2A">
        <w:t>Aulls</w:t>
      </w:r>
      <w:proofErr w:type="spellEnd"/>
      <w:r w:rsidRPr="00147A2A">
        <w:t xml:space="preserve">, M. W., </w:t>
      </w:r>
      <w:proofErr w:type="spellStart"/>
      <w:r w:rsidRPr="00147A2A">
        <w:t>Koestner</w:t>
      </w:r>
      <w:proofErr w:type="spellEnd"/>
      <w:r w:rsidRPr="00147A2A">
        <w:t>, R</w:t>
      </w:r>
      <w:proofErr w:type="gramStart"/>
      <w:r w:rsidRPr="00147A2A">
        <w:t>.,</w:t>
      </w:r>
      <w:r w:rsidR="00147A2A">
        <w:t xml:space="preserve"> . . .</w:t>
      </w:r>
      <w:proofErr w:type="gramEnd"/>
      <w:r w:rsidR="00147A2A">
        <w:t xml:space="preserve"> </w:t>
      </w:r>
      <w:proofErr w:type="spellStart"/>
      <w:r w:rsidR="00147A2A" w:rsidRPr="00147A2A">
        <w:t>Abrami</w:t>
      </w:r>
      <w:proofErr w:type="spellEnd"/>
      <w:r w:rsidR="00147A2A">
        <w:t xml:space="preserve">, P. </w:t>
      </w:r>
      <w:r w:rsidRPr="00147A2A">
        <w:t xml:space="preserve">(2005). </w:t>
      </w:r>
      <w:proofErr w:type="gramStart"/>
      <w:r w:rsidRPr="00147A2A">
        <w:t>A study of the factors influencing the success and retention of students in CEGEP science programs.</w:t>
      </w:r>
      <w:proofErr w:type="gramEnd"/>
      <w:r w:rsidRPr="00147A2A">
        <w:t xml:space="preserve"> </w:t>
      </w:r>
      <w:r w:rsidR="000E1383" w:rsidRPr="00147A2A">
        <w:t>Report submitted to FQRSC, ISBN 2-921024-69-1.</w:t>
      </w:r>
    </w:p>
    <w:p w14:paraId="598E70D3" w14:textId="77777777" w:rsidR="0022283E" w:rsidRPr="00D71037" w:rsidRDefault="0022283E" w:rsidP="00030275">
      <w:pPr>
        <w:pStyle w:val="CommentText"/>
        <w:ind w:left="720" w:hanging="720"/>
        <w:contextualSpacing/>
        <w:rPr>
          <w:sz w:val="24"/>
          <w:szCs w:val="24"/>
        </w:rPr>
      </w:pPr>
      <w:proofErr w:type="gramStart"/>
      <w:r w:rsidRPr="00D71037">
        <w:rPr>
          <w:sz w:val="24"/>
          <w:szCs w:val="24"/>
        </w:rPr>
        <w:lastRenderedPageBreak/>
        <w:t xml:space="preserve">Ryan, R. M., &amp; </w:t>
      </w:r>
      <w:proofErr w:type="spellStart"/>
      <w:r w:rsidRPr="00D71037">
        <w:rPr>
          <w:sz w:val="24"/>
          <w:szCs w:val="24"/>
        </w:rPr>
        <w:t>Deci</w:t>
      </w:r>
      <w:proofErr w:type="spellEnd"/>
      <w:r w:rsidRPr="00D71037">
        <w:rPr>
          <w:sz w:val="24"/>
          <w:szCs w:val="24"/>
        </w:rPr>
        <w:t>, E. L. (2009).</w:t>
      </w:r>
      <w:proofErr w:type="gramEnd"/>
      <w:r w:rsidRPr="00D71037">
        <w:rPr>
          <w:sz w:val="24"/>
          <w:szCs w:val="24"/>
        </w:rPr>
        <w:t xml:space="preserve"> Promoting self</w:t>
      </w:r>
      <w:r w:rsidRPr="00D71037">
        <w:rPr>
          <w:rFonts w:ascii="Cambria Math" w:hAnsi="Cambria Math" w:cs="Cambria Math"/>
          <w:sz w:val="24"/>
          <w:szCs w:val="24"/>
        </w:rPr>
        <w:t>‐</w:t>
      </w:r>
      <w:r w:rsidRPr="00D71037">
        <w:rPr>
          <w:sz w:val="24"/>
          <w:szCs w:val="24"/>
        </w:rPr>
        <w:t>determined school engagement: Motivation, learning, and well</w:t>
      </w:r>
      <w:r w:rsidRPr="00D71037">
        <w:rPr>
          <w:rFonts w:ascii="Cambria Math" w:hAnsi="Cambria Math" w:cs="Cambria Math"/>
          <w:sz w:val="24"/>
          <w:szCs w:val="24"/>
        </w:rPr>
        <w:t>‐</w:t>
      </w:r>
      <w:r w:rsidRPr="00D71037">
        <w:rPr>
          <w:sz w:val="24"/>
          <w:szCs w:val="24"/>
        </w:rPr>
        <w:t xml:space="preserve">being. </w:t>
      </w:r>
      <w:proofErr w:type="gramStart"/>
      <w:r w:rsidRPr="00D71037">
        <w:rPr>
          <w:sz w:val="24"/>
          <w:szCs w:val="24"/>
        </w:rPr>
        <w:t xml:space="preserve">In K. R. </w:t>
      </w:r>
      <w:proofErr w:type="spellStart"/>
      <w:r w:rsidRPr="00D71037">
        <w:rPr>
          <w:sz w:val="24"/>
          <w:szCs w:val="24"/>
        </w:rPr>
        <w:t>Wentzel</w:t>
      </w:r>
      <w:proofErr w:type="spellEnd"/>
      <w:r w:rsidRPr="00D71037">
        <w:rPr>
          <w:sz w:val="24"/>
          <w:szCs w:val="24"/>
        </w:rPr>
        <w:t xml:space="preserve"> &amp; A. </w:t>
      </w:r>
      <w:proofErr w:type="spellStart"/>
      <w:r w:rsidRPr="00D71037">
        <w:rPr>
          <w:sz w:val="24"/>
          <w:szCs w:val="24"/>
        </w:rPr>
        <w:t>Wigfield</w:t>
      </w:r>
      <w:proofErr w:type="spellEnd"/>
      <w:r w:rsidRPr="00D71037">
        <w:rPr>
          <w:sz w:val="24"/>
          <w:szCs w:val="24"/>
        </w:rPr>
        <w:t xml:space="preserve"> (Eds.), </w:t>
      </w:r>
      <w:r w:rsidRPr="00D71037">
        <w:rPr>
          <w:i/>
          <w:sz w:val="24"/>
          <w:szCs w:val="24"/>
        </w:rPr>
        <w:t>Handbook of motivation at school</w:t>
      </w:r>
      <w:r w:rsidRPr="00D71037">
        <w:rPr>
          <w:sz w:val="24"/>
          <w:szCs w:val="24"/>
        </w:rPr>
        <w:t xml:space="preserve"> (pp. 171</w:t>
      </w:r>
      <w:r w:rsidRPr="00D71037">
        <w:rPr>
          <w:sz w:val="24"/>
          <w:szCs w:val="24"/>
          <w:lang w:val="en-CA"/>
        </w:rPr>
        <w:t>–</w:t>
      </w:r>
      <w:r w:rsidRPr="00D71037">
        <w:rPr>
          <w:sz w:val="24"/>
          <w:szCs w:val="24"/>
        </w:rPr>
        <w:t>196).</w:t>
      </w:r>
      <w:proofErr w:type="gramEnd"/>
      <w:r w:rsidRPr="00D71037">
        <w:rPr>
          <w:sz w:val="24"/>
          <w:szCs w:val="24"/>
        </w:rPr>
        <w:t xml:space="preserve"> New York, NY: Routledge.</w:t>
      </w:r>
    </w:p>
    <w:p w14:paraId="3C6FE9E6" w14:textId="77777777" w:rsidR="00383E34" w:rsidRPr="00D71037" w:rsidRDefault="00383E34" w:rsidP="00030275">
      <w:pPr>
        <w:pStyle w:val="CommentText"/>
        <w:ind w:left="720" w:hanging="720"/>
        <w:contextualSpacing/>
        <w:rPr>
          <w:sz w:val="24"/>
          <w:szCs w:val="24"/>
          <w:lang w:val="en-CA"/>
        </w:rPr>
      </w:pPr>
      <w:proofErr w:type="spellStart"/>
      <w:proofErr w:type="gramStart"/>
      <w:r w:rsidRPr="00D71037">
        <w:rPr>
          <w:sz w:val="24"/>
          <w:szCs w:val="24"/>
          <w:lang w:val="en-CA"/>
        </w:rPr>
        <w:t>Schunk</w:t>
      </w:r>
      <w:proofErr w:type="spellEnd"/>
      <w:r w:rsidRPr="00D71037">
        <w:rPr>
          <w:sz w:val="24"/>
          <w:szCs w:val="24"/>
          <w:lang w:val="en-CA"/>
        </w:rPr>
        <w:t xml:space="preserve">, D. H., &amp; </w:t>
      </w:r>
      <w:proofErr w:type="spellStart"/>
      <w:r w:rsidRPr="00D71037">
        <w:rPr>
          <w:sz w:val="24"/>
          <w:szCs w:val="24"/>
          <w:lang w:val="en-CA"/>
        </w:rPr>
        <w:t>Pajares</w:t>
      </w:r>
      <w:proofErr w:type="spellEnd"/>
      <w:r w:rsidRPr="00D71037">
        <w:rPr>
          <w:sz w:val="24"/>
          <w:szCs w:val="24"/>
          <w:lang w:val="en-CA"/>
        </w:rPr>
        <w:t>, F. (2005).</w:t>
      </w:r>
      <w:proofErr w:type="gramEnd"/>
      <w:r w:rsidRPr="00D71037">
        <w:rPr>
          <w:sz w:val="24"/>
          <w:szCs w:val="24"/>
          <w:lang w:val="en-CA"/>
        </w:rPr>
        <w:t xml:space="preserve"> </w:t>
      </w:r>
      <w:proofErr w:type="gramStart"/>
      <w:r w:rsidRPr="00D71037">
        <w:rPr>
          <w:sz w:val="24"/>
          <w:szCs w:val="24"/>
          <w:lang w:val="en-CA"/>
        </w:rPr>
        <w:t>Competence perceptions and academic functioning.</w:t>
      </w:r>
      <w:proofErr w:type="gramEnd"/>
      <w:r w:rsidRPr="00D71037">
        <w:rPr>
          <w:sz w:val="24"/>
          <w:szCs w:val="24"/>
          <w:lang w:val="en-CA"/>
        </w:rPr>
        <w:t xml:space="preserve"> </w:t>
      </w:r>
      <w:proofErr w:type="gramStart"/>
      <w:r w:rsidRPr="00D71037">
        <w:rPr>
          <w:sz w:val="24"/>
          <w:szCs w:val="24"/>
          <w:lang w:val="en-CA"/>
        </w:rPr>
        <w:t xml:space="preserve">In A. J. Elliot &amp; C. S. </w:t>
      </w:r>
      <w:proofErr w:type="spellStart"/>
      <w:r w:rsidRPr="00D71037">
        <w:rPr>
          <w:sz w:val="24"/>
          <w:szCs w:val="24"/>
          <w:lang w:val="en-CA"/>
        </w:rPr>
        <w:t>Dweck</w:t>
      </w:r>
      <w:proofErr w:type="spellEnd"/>
      <w:r w:rsidRPr="00D71037">
        <w:rPr>
          <w:sz w:val="24"/>
          <w:szCs w:val="24"/>
          <w:lang w:val="en-CA"/>
        </w:rPr>
        <w:t xml:space="preserve"> (Eds.), </w:t>
      </w:r>
      <w:r w:rsidRPr="00D71037">
        <w:rPr>
          <w:i/>
          <w:sz w:val="24"/>
          <w:szCs w:val="24"/>
          <w:lang w:val="en-CA"/>
        </w:rPr>
        <w:t>Handbook of competence and motivation</w:t>
      </w:r>
      <w:r w:rsidRPr="00D71037">
        <w:rPr>
          <w:sz w:val="24"/>
          <w:szCs w:val="24"/>
          <w:lang w:val="en-CA"/>
        </w:rPr>
        <w:t xml:space="preserve"> (pp. 85–104).</w:t>
      </w:r>
      <w:proofErr w:type="gramEnd"/>
      <w:r w:rsidRPr="00D71037">
        <w:rPr>
          <w:sz w:val="24"/>
          <w:szCs w:val="24"/>
          <w:lang w:val="en-CA"/>
        </w:rPr>
        <w:t xml:space="preserve"> New York, NY: The Guilford Press.</w:t>
      </w:r>
    </w:p>
    <w:p w14:paraId="703ABA3D" w14:textId="77777777" w:rsidR="00F9474A" w:rsidRPr="00D71037" w:rsidRDefault="00F9474A" w:rsidP="00030275">
      <w:pPr>
        <w:pStyle w:val="CommentText"/>
        <w:ind w:left="720" w:hanging="720"/>
        <w:contextualSpacing/>
        <w:rPr>
          <w:sz w:val="24"/>
          <w:szCs w:val="24"/>
        </w:rPr>
      </w:pPr>
      <w:proofErr w:type="gramStart"/>
      <w:r w:rsidRPr="00D71037">
        <w:rPr>
          <w:sz w:val="24"/>
          <w:szCs w:val="24"/>
        </w:rPr>
        <w:t xml:space="preserve">Senko, C., </w:t>
      </w:r>
      <w:proofErr w:type="spellStart"/>
      <w:r w:rsidRPr="00D71037">
        <w:rPr>
          <w:sz w:val="24"/>
          <w:szCs w:val="24"/>
        </w:rPr>
        <w:t>Hulleman</w:t>
      </w:r>
      <w:proofErr w:type="spellEnd"/>
      <w:r w:rsidRPr="00D71037">
        <w:rPr>
          <w:sz w:val="24"/>
          <w:szCs w:val="24"/>
        </w:rPr>
        <w:t xml:space="preserve">, C. S., &amp; </w:t>
      </w:r>
      <w:proofErr w:type="spellStart"/>
      <w:r w:rsidRPr="00D71037">
        <w:rPr>
          <w:sz w:val="24"/>
          <w:szCs w:val="24"/>
        </w:rPr>
        <w:t>Harackiewicz</w:t>
      </w:r>
      <w:proofErr w:type="spellEnd"/>
      <w:r w:rsidRPr="00D71037">
        <w:rPr>
          <w:sz w:val="24"/>
          <w:szCs w:val="24"/>
        </w:rPr>
        <w:t>, J. M. (2011).</w:t>
      </w:r>
      <w:proofErr w:type="gramEnd"/>
      <w:r w:rsidRPr="00D71037">
        <w:rPr>
          <w:sz w:val="24"/>
          <w:szCs w:val="24"/>
        </w:rPr>
        <w:t xml:space="preserve"> Achievement goal theory at the crossroads: Old controversies, current challenges, and new directions. </w:t>
      </w:r>
      <w:r w:rsidRPr="00D71037">
        <w:rPr>
          <w:i/>
          <w:sz w:val="24"/>
          <w:szCs w:val="24"/>
        </w:rPr>
        <w:t>Educational Psychologist, 46</w:t>
      </w:r>
      <w:r w:rsidRPr="00D71037">
        <w:rPr>
          <w:sz w:val="24"/>
          <w:szCs w:val="24"/>
        </w:rPr>
        <w:t>, 26</w:t>
      </w:r>
      <w:r w:rsidRPr="00D71037">
        <w:rPr>
          <w:sz w:val="24"/>
          <w:szCs w:val="24"/>
          <w:lang w:val="en-CA"/>
        </w:rPr>
        <w:t>–47.</w:t>
      </w:r>
    </w:p>
    <w:p w14:paraId="3160E5C2" w14:textId="77777777" w:rsidR="00947794" w:rsidRDefault="00947794" w:rsidP="00030275">
      <w:pPr>
        <w:contextualSpacing/>
        <w:rPr>
          <w:i/>
          <w:iCs/>
        </w:rPr>
      </w:pPr>
      <w:proofErr w:type="gramStart"/>
      <w:r>
        <w:t>Seymour, E., &amp; Hewitt, N. M. (1997).</w:t>
      </w:r>
      <w:proofErr w:type="gramEnd"/>
      <w:r>
        <w:t xml:space="preserve"> </w:t>
      </w:r>
      <w:r>
        <w:rPr>
          <w:i/>
          <w:iCs/>
        </w:rPr>
        <w:t xml:space="preserve">Talking about leaving: Why undergraduates leave </w:t>
      </w:r>
    </w:p>
    <w:p w14:paraId="3E7CBDEF" w14:textId="37722F8C" w:rsidR="00947794" w:rsidRDefault="00947794" w:rsidP="00030275">
      <w:pPr>
        <w:ind w:firstLine="720"/>
        <w:contextualSpacing/>
      </w:pPr>
      <w:proofErr w:type="gramStart"/>
      <w:r>
        <w:rPr>
          <w:i/>
          <w:iCs/>
        </w:rPr>
        <w:t>the</w:t>
      </w:r>
      <w:proofErr w:type="gramEnd"/>
      <w:r>
        <w:rPr>
          <w:i/>
          <w:iCs/>
        </w:rPr>
        <w:t xml:space="preserve"> sciences. </w:t>
      </w:r>
      <w:r>
        <w:t>Boulder, CO: Westview Press.</w:t>
      </w:r>
    </w:p>
    <w:p w14:paraId="3821DA0B" w14:textId="5FDB20C7" w:rsidR="0022283E" w:rsidRPr="0022283E" w:rsidRDefault="0022283E" w:rsidP="00030275">
      <w:pPr>
        <w:pStyle w:val="CommentText"/>
        <w:ind w:left="720" w:hanging="720"/>
        <w:contextualSpacing/>
      </w:pPr>
      <w:proofErr w:type="gramStart"/>
      <w:r w:rsidRPr="00D71037">
        <w:rPr>
          <w:sz w:val="24"/>
          <w:szCs w:val="24"/>
        </w:rPr>
        <w:t>Statistics Canada.</w:t>
      </w:r>
      <w:proofErr w:type="gramEnd"/>
      <w:r w:rsidRPr="00D71037">
        <w:rPr>
          <w:sz w:val="24"/>
          <w:szCs w:val="24"/>
        </w:rPr>
        <w:t xml:space="preserve"> (2010). </w:t>
      </w:r>
      <w:r w:rsidRPr="00D71037">
        <w:rPr>
          <w:i/>
          <w:iCs/>
          <w:sz w:val="24"/>
          <w:szCs w:val="24"/>
        </w:rPr>
        <w:t xml:space="preserve">Women in Canada: A gender-based statistical report. </w:t>
      </w:r>
      <w:proofErr w:type="gramStart"/>
      <w:r w:rsidRPr="00D71037">
        <w:rPr>
          <w:sz w:val="24"/>
          <w:szCs w:val="24"/>
        </w:rPr>
        <w:t>(Catalogue no. 89-503-X).</w:t>
      </w:r>
      <w:proofErr w:type="gramEnd"/>
      <w:r w:rsidRPr="00D71037">
        <w:rPr>
          <w:sz w:val="24"/>
          <w:szCs w:val="24"/>
        </w:rPr>
        <w:t xml:space="preserve"> Ottawa, Canada: Minister of Industry.</w:t>
      </w:r>
    </w:p>
    <w:p w14:paraId="7540F895" w14:textId="77777777" w:rsidR="00947794" w:rsidRDefault="00947794" w:rsidP="00030275">
      <w:pPr>
        <w:contextualSpacing/>
      </w:pPr>
      <w:proofErr w:type="spellStart"/>
      <w:proofErr w:type="gramStart"/>
      <w:r>
        <w:t>Szulecka</w:t>
      </w:r>
      <w:proofErr w:type="spellEnd"/>
      <w:r>
        <w:t xml:space="preserve">, T. K., </w:t>
      </w:r>
      <w:proofErr w:type="spellStart"/>
      <w:r>
        <w:t>Springett</w:t>
      </w:r>
      <w:proofErr w:type="spellEnd"/>
      <w:r>
        <w:t xml:space="preserve">, N. R., &amp; de </w:t>
      </w:r>
      <w:proofErr w:type="spellStart"/>
      <w:r>
        <w:t>Pauw</w:t>
      </w:r>
      <w:proofErr w:type="spellEnd"/>
      <w:r>
        <w:t>, K. W. (1987).</w:t>
      </w:r>
      <w:proofErr w:type="gramEnd"/>
      <w:r>
        <w:t xml:space="preserve"> General health, psychiatric </w:t>
      </w:r>
    </w:p>
    <w:p w14:paraId="588D58B3" w14:textId="35FD61A7" w:rsidR="00947794" w:rsidRDefault="00947794" w:rsidP="00030275">
      <w:pPr>
        <w:ind w:left="720"/>
        <w:contextualSpacing/>
      </w:pPr>
      <w:proofErr w:type="gramStart"/>
      <w:r>
        <w:t>vulnerability</w:t>
      </w:r>
      <w:proofErr w:type="gramEnd"/>
      <w:r>
        <w:t xml:space="preserve"> and withdrawal from university in first</w:t>
      </w:r>
      <w:r w:rsidR="00AA113A">
        <w:t>-</w:t>
      </w:r>
      <w:r>
        <w:t xml:space="preserve">year undergraduates. </w:t>
      </w:r>
      <w:r>
        <w:rPr>
          <w:i/>
          <w:iCs/>
        </w:rPr>
        <w:t>British Journal of Guidance &amp; Counseling Special Issue: Counseling and health, 15</w:t>
      </w:r>
      <w:r>
        <w:t>, 82</w:t>
      </w:r>
      <w:r w:rsidR="00075DC3">
        <w:t>–</w:t>
      </w:r>
      <w:r>
        <w:t>91.</w:t>
      </w:r>
    </w:p>
    <w:p w14:paraId="328211AE" w14:textId="77777777" w:rsidR="00947794" w:rsidRDefault="00947794" w:rsidP="00030275">
      <w:pPr>
        <w:contextualSpacing/>
      </w:pPr>
      <w:proofErr w:type="gramStart"/>
      <w:r>
        <w:t>Tinto, V. (1997).</w:t>
      </w:r>
      <w:proofErr w:type="gramEnd"/>
      <w:r>
        <w:t xml:space="preserve"> Classrooms as communities: Exploring the educational character of </w:t>
      </w:r>
    </w:p>
    <w:p w14:paraId="42ED1BC6" w14:textId="152605EA" w:rsidR="00947794" w:rsidRDefault="00947794" w:rsidP="00030275">
      <w:pPr>
        <w:ind w:firstLine="720"/>
        <w:contextualSpacing/>
      </w:pPr>
      <w:proofErr w:type="gramStart"/>
      <w:r>
        <w:t>student</w:t>
      </w:r>
      <w:proofErr w:type="gramEnd"/>
      <w:r>
        <w:t xml:space="preserve"> persistence. </w:t>
      </w:r>
      <w:r>
        <w:rPr>
          <w:i/>
          <w:iCs/>
        </w:rPr>
        <w:t>Journal of Higher Education</w:t>
      </w:r>
      <w:r>
        <w:t xml:space="preserve">, </w:t>
      </w:r>
      <w:r>
        <w:rPr>
          <w:i/>
          <w:iCs/>
        </w:rPr>
        <w:t>68</w:t>
      </w:r>
      <w:r>
        <w:t>, 599</w:t>
      </w:r>
      <w:r w:rsidR="00075DC3">
        <w:t>–</w:t>
      </w:r>
      <w:r>
        <w:t>623.</w:t>
      </w:r>
    </w:p>
    <w:p w14:paraId="27F25050" w14:textId="77777777" w:rsidR="00947794" w:rsidRDefault="00947794" w:rsidP="00030275">
      <w:pPr>
        <w:contextualSpacing/>
        <w:rPr>
          <w:lang w:val="en-CA"/>
        </w:rPr>
      </w:pPr>
      <w:proofErr w:type="spellStart"/>
      <w:r w:rsidRPr="00CD0241">
        <w:rPr>
          <w:lang w:val="fr-CA"/>
        </w:rPr>
        <w:t>Vallerand</w:t>
      </w:r>
      <w:proofErr w:type="spellEnd"/>
      <w:r w:rsidRPr="00CD0241">
        <w:rPr>
          <w:lang w:val="fr-CA"/>
        </w:rPr>
        <w:t xml:space="preserve">, R. J., Blais, M. R., Brière, N. M., &amp; Pelletier, L.G. (1989). </w:t>
      </w:r>
      <w:r>
        <w:rPr>
          <w:lang w:val="en-CA"/>
        </w:rPr>
        <w:t xml:space="preserve">Construction and </w:t>
      </w:r>
    </w:p>
    <w:p w14:paraId="15FFCC88" w14:textId="092986CF" w:rsidR="00947794" w:rsidRDefault="00947794" w:rsidP="00030275">
      <w:pPr>
        <w:ind w:left="720"/>
        <w:contextualSpacing/>
        <w:rPr>
          <w:lang w:val="en-CA"/>
        </w:rPr>
      </w:pPr>
      <w:proofErr w:type="gramStart"/>
      <w:r>
        <w:rPr>
          <w:lang w:val="en-CA"/>
        </w:rPr>
        <w:t>validation</w:t>
      </w:r>
      <w:proofErr w:type="gramEnd"/>
      <w:r>
        <w:rPr>
          <w:lang w:val="en-CA"/>
        </w:rPr>
        <w:t xml:space="preserve"> of the </w:t>
      </w:r>
      <w:proofErr w:type="spellStart"/>
      <w:r>
        <w:rPr>
          <w:lang w:val="en-CA"/>
        </w:rPr>
        <w:t>Echelle</w:t>
      </w:r>
      <w:proofErr w:type="spellEnd"/>
      <w:r>
        <w:rPr>
          <w:lang w:val="en-CA"/>
        </w:rPr>
        <w:t xml:space="preserve"> de Motivation en Education (EME). </w:t>
      </w:r>
      <w:r>
        <w:rPr>
          <w:i/>
          <w:iCs/>
          <w:lang w:val="en-CA"/>
        </w:rPr>
        <w:t>Canadian Journal of Behavioral Sciences, 21</w:t>
      </w:r>
      <w:r>
        <w:rPr>
          <w:lang w:val="en-CA"/>
        </w:rPr>
        <w:t>, 323</w:t>
      </w:r>
      <w:r w:rsidR="00075DC3">
        <w:rPr>
          <w:lang w:val="en-CA"/>
        </w:rPr>
        <w:t>–</w:t>
      </w:r>
      <w:r>
        <w:rPr>
          <w:lang w:val="en-CA"/>
        </w:rPr>
        <w:t>349.</w:t>
      </w:r>
    </w:p>
    <w:p w14:paraId="31C0C9BC" w14:textId="55B77CF0" w:rsidR="00947794" w:rsidRDefault="00947794" w:rsidP="00030275">
      <w:pPr>
        <w:pStyle w:val="Footer"/>
        <w:tabs>
          <w:tab w:val="clear" w:pos="4320"/>
          <w:tab w:val="clear" w:pos="8640"/>
        </w:tabs>
        <w:ind w:left="720" w:hanging="720"/>
        <w:contextualSpacing/>
      </w:pPr>
      <w:proofErr w:type="spellStart"/>
      <w:proofErr w:type="gramStart"/>
      <w:r>
        <w:t>Vallerand</w:t>
      </w:r>
      <w:proofErr w:type="spellEnd"/>
      <w:r>
        <w:t xml:space="preserve">, R. J., Fortier, M. S., &amp; </w:t>
      </w:r>
      <w:proofErr w:type="spellStart"/>
      <w:r>
        <w:t>Guay</w:t>
      </w:r>
      <w:proofErr w:type="spellEnd"/>
      <w:r>
        <w:t>, F. (1997).</w:t>
      </w:r>
      <w:proofErr w:type="gramEnd"/>
      <w:r>
        <w:t xml:space="preserve"> Self</w:t>
      </w:r>
      <w:r w:rsidR="00AA113A">
        <w:t>-</w:t>
      </w:r>
      <w:r>
        <w:t xml:space="preserve">determination and persistence in </w:t>
      </w:r>
      <w:r w:rsidR="000E1383">
        <w:t>a</w:t>
      </w:r>
      <w:r>
        <w:t xml:space="preserve"> real</w:t>
      </w:r>
      <w:r w:rsidR="00AA113A">
        <w:t>-</w:t>
      </w:r>
      <w:r>
        <w:t xml:space="preserve">life setting: Toward a motivational model of high school dropout. </w:t>
      </w:r>
      <w:r>
        <w:rPr>
          <w:i/>
          <w:iCs/>
        </w:rPr>
        <w:t>Journal of Personality and Social Psychology, 72</w:t>
      </w:r>
      <w:r>
        <w:t>, 1161</w:t>
      </w:r>
      <w:r w:rsidR="00075DC3">
        <w:t>–</w:t>
      </w:r>
      <w:r>
        <w:t>1176.</w:t>
      </w:r>
    </w:p>
    <w:p w14:paraId="4C07EEBD" w14:textId="77777777" w:rsidR="00947794" w:rsidRPr="000E1383" w:rsidRDefault="00B71BDE" w:rsidP="00030275">
      <w:pPr>
        <w:contextualSpacing/>
        <w:rPr>
          <w:lang w:val="fr-CA"/>
        </w:rPr>
      </w:pPr>
      <w:proofErr w:type="spellStart"/>
      <w:r w:rsidRPr="000E1383">
        <w:rPr>
          <w:lang w:val="fr-CA"/>
        </w:rPr>
        <w:t>Vallerand</w:t>
      </w:r>
      <w:proofErr w:type="spellEnd"/>
      <w:r w:rsidRPr="000E1383">
        <w:rPr>
          <w:lang w:val="fr-CA"/>
        </w:rPr>
        <w:t xml:space="preserve">, R. J., Pelletier, L. G., Blais, M. R., Brière, N. M., </w:t>
      </w:r>
      <w:proofErr w:type="spellStart"/>
      <w:r w:rsidRPr="000E1383">
        <w:rPr>
          <w:lang w:val="fr-CA"/>
        </w:rPr>
        <w:t>Senécal</w:t>
      </w:r>
      <w:proofErr w:type="spellEnd"/>
      <w:r w:rsidRPr="000E1383">
        <w:rPr>
          <w:lang w:val="fr-CA"/>
        </w:rPr>
        <w:t xml:space="preserve">, C., &amp; Vallières, E. </w:t>
      </w:r>
    </w:p>
    <w:p w14:paraId="675EA066" w14:textId="7B40EB7C" w:rsidR="00947794" w:rsidRDefault="00947794" w:rsidP="00030275">
      <w:pPr>
        <w:ind w:left="720"/>
        <w:contextualSpacing/>
        <w:rPr>
          <w:lang w:val="en-CA"/>
        </w:rPr>
      </w:pPr>
      <w:proofErr w:type="gramStart"/>
      <w:r>
        <w:rPr>
          <w:lang w:val="en-CA"/>
        </w:rPr>
        <w:t>F. (1992).</w:t>
      </w:r>
      <w:proofErr w:type="gramEnd"/>
      <w:r>
        <w:rPr>
          <w:lang w:val="en-CA"/>
        </w:rPr>
        <w:t xml:space="preserve"> The academic motivation scale: A measure of intrinsic, extrinsic, and </w:t>
      </w:r>
      <w:proofErr w:type="spellStart"/>
      <w:r>
        <w:rPr>
          <w:lang w:val="en-CA"/>
        </w:rPr>
        <w:t>amotivation</w:t>
      </w:r>
      <w:proofErr w:type="spellEnd"/>
      <w:r>
        <w:rPr>
          <w:lang w:val="en-CA"/>
        </w:rPr>
        <w:t xml:space="preserve"> in education. </w:t>
      </w:r>
      <w:r>
        <w:rPr>
          <w:i/>
          <w:iCs/>
          <w:lang w:val="en-CA"/>
        </w:rPr>
        <w:t>Educational and Psychological Measurement</w:t>
      </w:r>
      <w:r>
        <w:rPr>
          <w:lang w:val="en-CA"/>
        </w:rPr>
        <w:t xml:space="preserve">, </w:t>
      </w:r>
      <w:r>
        <w:rPr>
          <w:i/>
          <w:iCs/>
          <w:lang w:val="en-CA"/>
        </w:rPr>
        <w:t>52</w:t>
      </w:r>
      <w:r>
        <w:rPr>
          <w:lang w:val="en-CA"/>
        </w:rPr>
        <w:t>, 1003</w:t>
      </w:r>
      <w:r w:rsidR="00075DC3">
        <w:rPr>
          <w:lang w:val="en-CA"/>
        </w:rPr>
        <w:t>–</w:t>
      </w:r>
      <w:r>
        <w:rPr>
          <w:lang w:val="en-CA"/>
        </w:rPr>
        <w:t>1017.</w:t>
      </w:r>
    </w:p>
    <w:p w14:paraId="6936C8E4" w14:textId="30345AF0" w:rsidR="0022283E" w:rsidRPr="0022283E" w:rsidRDefault="0022283E" w:rsidP="00030275">
      <w:pPr>
        <w:pStyle w:val="CommentText"/>
        <w:ind w:left="720" w:hanging="720"/>
        <w:contextualSpacing/>
      </w:pPr>
      <w:proofErr w:type="gramStart"/>
      <w:r w:rsidRPr="00D71037">
        <w:rPr>
          <w:sz w:val="24"/>
          <w:szCs w:val="24"/>
        </w:rPr>
        <w:t xml:space="preserve">Van den </w:t>
      </w:r>
      <w:proofErr w:type="spellStart"/>
      <w:r w:rsidRPr="00D71037">
        <w:rPr>
          <w:sz w:val="24"/>
          <w:szCs w:val="24"/>
        </w:rPr>
        <w:t>Broeck</w:t>
      </w:r>
      <w:proofErr w:type="spellEnd"/>
      <w:r w:rsidRPr="00D71037">
        <w:rPr>
          <w:sz w:val="24"/>
          <w:szCs w:val="24"/>
        </w:rPr>
        <w:t xml:space="preserve">, A., </w:t>
      </w:r>
      <w:proofErr w:type="spellStart"/>
      <w:r w:rsidRPr="00D71037">
        <w:rPr>
          <w:sz w:val="24"/>
          <w:szCs w:val="24"/>
        </w:rPr>
        <w:t>Vansteenkiste</w:t>
      </w:r>
      <w:proofErr w:type="spellEnd"/>
      <w:r w:rsidRPr="00D71037">
        <w:rPr>
          <w:sz w:val="24"/>
          <w:szCs w:val="24"/>
        </w:rPr>
        <w:t xml:space="preserve">, M., De Witte, H., </w:t>
      </w:r>
      <w:proofErr w:type="spellStart"/>
      <w:r w:rsidRPr="00D71037">
        <w:rPr>
          <w:sz w:val="24"/>
          <w:szCs w:val="24"/>
        </w:rPr>
        <w:t>Soenens</w:t>
      </w:r>
      <w:proofErr w:type="spellEnd"/>
      <w:r w:rsidRPr="00D71037">
        <w:rPr>
          <w:sz w:val="24"/>
          <w:szCs w:val="24"/>
        </w:rPr>
        <w:t>, B., &amp; Lens, W. (2010).</w:t>
      </w:r>
      <w:proofErr w:type="gramEnd"/>
      <w:r w:rsidRPr="00D71037">
        <w:rPr>
          <w:sz w:val="24"/>
          <w:szCs w:val="24"/>
        </w:rPr>
        <w:t xml:space="preserve"> Capturing autonomy, competence, and relatedness at work: Construction and initial validation of the Work-related Basic Need Satisfaction scale. </w:t>
      </w:r>
      <w:proofErr w:type="gramStart"/>
      <w:r w:rsidRPr="00D71037">
        <w:rPr>
          <w:i/>
          <w:sz w:val="24"/>
          <w:szCs w:val="24"/>
        </w:rPr>
        <w:t>Journal of Occupational and Organizational Psychology, 83</w:t>
      </w:r>
      <w:r w:rsidRPr="00D71037">
        <w:rPr>
          <w:sz w:val="24"/>
          <w:szCs w:val="24"/>
        </w:rPr>
        <w:t>, 981–1002.</w:t>
      </w:r>
      <w:proofErr w:type="gramEnd"/>
    </w:p>
    <w:p w14:paraId="343C5DCB" w14:textId="77777777" w:rsidR="00947794" w:rsidRDefault="00947794" w:rsidP="00030275">
      <w:pPr>
        <w:contextualSpacing/>
      </w:pPr>
      <w:proofErr w:type="spellStart"/>
      <w:r>
        <w:t>Vansteenkiste</w:t>
      </w:r>
      <w:proofErr w:type="spellEnd"/>
      <w:r>
        <w:t xml:space="preserve">, M., Simons, J., Lens, W., Sheldon, K. M., &amp; </w:t>
      </w:r>
      <w:proofErr w:type="spellStart"/>
      <w:r>
        <w:t>Deci</w:t>
      </w:r>
      <w:proofErr w:type="spellEnd"/>
      <w:r>
        <w:t xml:space="preserve">, E. L. (2004). </w:t>
      </w:r>
    </w:p>
    <w:p w14:paraId="0AE70E70" w14:textId="2D3F1758" w:rsidR="00947794" w:rsidRDefault="00947794" w:rsidP="00030275">
      <w:pPr>
        <w:ind w:left="720"/>
        <w:contextualSpacing/>
      </w:pPr>
      <w:proofErr w:type="gramStart"/>
      <w:r>
        <w:t>Motivating learning, performance, and persistence: The synergistic effects of intrinsic goal contents and autonomy</w:t>
      </w:r>
      <w:r w:rsidR="00AA113A">
        <w:t>-</w:t>
      </w:r>
      <w:r>
        <w:t>supportive contexts.</w:t>
      </w:r>
      <w:proofErr w:type="gramEnd"/>
      <w:r>
        <w:t xml:space="preserve"> </w:t>
      </w:r>
      <w:r>
        <w:rPr>
          <w:i/>
          <w:iCs/>
        </w:rPr>
        <w:t>Journal of Personality and Social Psychology</w:t>
      </w:r>
      <w:r>
        <w:t xml:space="preserve">, </w:t>
      </w:r>
      <w:r>
        <w:rPr>
          <w:i/>
          <w:iCs/>
        </w:rPr>
        <w:t>87</w:t>
      </w:r>
      <w:r>
        <w:t>, 246</w:t>
      </w:r>
      <w:r w:rsidR="00075DC3">
        <w:t>–</w:t>
      </w:r>
      <w:r>
        <w:t>260.</w:t>
      </w:r>
    </w:p>
    <w:p w14:paraId="65D7AD09" w14:textId="77777777" w:rsidR="00C65B31" w:rsidRPr="009400CE" w:rsidRDefault="00C65B31" w:rsidP="00030275">
      <w:pPr>
        <w:shd w:val="clear" w:color="auto" w:fill="FFFFFF"/>
        <w:ind w:left="709" w:hanging="709"/>
        <w:contextualSpacing/>
        <w:textAlignment w:val="baseline"/>
        <w:rPr>
          <w:rFonts w:ascii="Helvetica Neue" w:hAnsi="Helvetica Neue"/>
          <w:color w:val="000000"/>
        </w:rPr>
      </w:pPr>
      <w:r w:rsidRPr="009400CE">
        <w:rPr>
          <w:color w:val="000000"/>
          <w:bdr w:val="none" w:sz="0" w:space="0" w:color="auto" w:frame="1"/>
        </w:rPr>
        <w:t>Villavicencio,</w:t>
      </w:r>
      <w:r w:rsidRPr="009400CE">
        <w:rPr>
          <w:rFonts w:eastAsiaTheme="minorHAnsi" w:cstheme="minorBidi"/>
          <w:color w:val="000000"/>
          <w:bdr w:val="none" w:sz="0" w:space="0" w:color="auto" w:frame="1"/>
        </w:rPr>
        <w:t> </w:t>
      </w:r>
      <w:r w:rsidRPr="009400CE">
        <w:rPr>
          <w:color w:val="000000"/>
          <w:bdr w:val="none" w:sz="0" w:space="0" w:color="auto" w:frame="1"/>
        </w:rPr>
        <w:t>F.</w:t>
      </w:r>
      <w:r w:rsidRPr="009400CE">
        <w:rPr>
          <w:rFonts w:eastAsiaTheme="minorHAnsi" w:cstheme="minorBidi"/>
          <w:color w:val="000000"/>
          <w:bdr w:val="none" w:sz="0" w:space="0" w:color="auto" w:frame="1"/>
        </w:rPr>
        <w:t> </w:t>
      </w:r>
      <w:r w:rsidRPr="009400CE">
        <w:rPr>
          <w:color w:val="000000"/>
          <w:bdr w:val="none" w:sz="0" w:space="0" w:color="auto" w:frame="1"/>
        </w:rPr>
        <w:t>T.</w:t>
      </w:r>
      <w:r w:rsidRPr="009400CE">
        <w:rPr>
          <w:rFonts w:eastAsiaTheme="minorHAnsi" w:cstheme="minorBidi"/>
          <w:color w:val="000000"/>
          <w:bdr w:val="none" w:sz="0" w:space="0" w:color="auto" w:frame="1"/>
        </w:rPr>
        <w:t> </w:t>
      </w:r>
      <w:r w:rsidRPr="009400CE">
        <w:rPr>
          <w:color w:val="000000"/>
          <w:bdr w:val="none" w:sz="0" w:space="0" w:color="auto" w:frame="1"/>
        </w:rPr>
        <w:t>(2011).</w:t>
      </w:r>
      <w:r w:rsidRPr="009400CE">
        <w:rPr>
          <w:rFonts w:eastAsiaTheme="minorHAnsi" w:cstheme="minorBidi"/>
          <w:color w:val="000000"/>
          <w:bdr w:val="none" w:sz="0" w:space="0" w:color="auto" w:frame="1"/>
        </w:rPr>
        <w:t> </w:t>
      </w:r>
      <w:r w:rsidRPr="009400CE">
        <w:rPr>
          <w:color w:val="000000"/>
          <w:bdr w:val="none" w:sz="0" w:space="0" w:color="auto" w:frame="1"/>
        </w:rPr>
        <w:t>Critical</w:t>
      </w:r>
      <w:r w:rsidRPr="009400CE">
        <w:rPr>
          <w:rFonts w:eastAsiaTheme="minorHAnsi" w:cstheme="minorBidi"/>
          <w:color w:val="000000"/>
          <w:bdr w:val="none" w:sz="0" w:space="0" w:color="auto" w:frame="1"/>
        </w:rPr>
        <w:t> </w:t>
      </w:r>
      <w:r w:rsidRPr="009400CE">
        <w:rPr>
          <w:color w:val="000000"/>
          <w:bdr w:val="none" w:sz="0" w:space="0" w:color="auto" w:frame="1"/>
        </w:rPr>
        <w:t>thinking,</w:t>
      </w:r>
      <w:r w:rsidRPr="009400CE">
        <w:rPr>
          <w:rFonts w:eastAsiaTheme="minorHAnsi" w:cstheme="minorBidi"/>
          <w:color w:val="000000"/>
          <w:bdr w:val="none" w:sz="0" w:space="0" w:color="auto" w:frame="1"/>
        </w:rPr>
        <w:t> </w:t>
      </w:r>
      <w:r w:rsidRPr="009400CE">
        <w:rPr>
          <w:color w:val="000000"/>
          <w:bdr w:val="none" w:sz="0" w:space="0" w:color="auto" w:frame="1"/>
        </w:rPr>
        <w:t>negative</w:t>
      </w:r>
      <w:r w:rsidRPr="009400CE">
        <w:rPr>
          <w:rFonts w:eastAsiaTheme="minorHAnsi" w:cstheme="minorBidi"/>
          <w:color w:val="000000"/>
          <w:bdr w:val="none" w:sz="0" w:space="0" w:color="auto" w:frame="1"/>
        </w:rPr>
        <w:t> </w:t>
      </w:r>
      <w:r w:rsidRPr="009400CE">
        <w:rPr>
          <w:color w:val="000000"/>
          <w:bdr w:val="none" w:sz="0" w:space="0" w:color="auto" w:frame="1"/>
        </w:rPr>
        <w:t>academic</w:t>
      </w:r>
      <w:r w:rsidRPr="009400CE">
        <w:rPr>
          <w:rFonts w:eastAsiaTheme="minorHAnsi" w:cstheme="minorBidi"/>
          <w:color w:val="000000"/>
          <w:bdr w:val="none" w:sz="0" w:space="0" w:color="auto" w:frame="1"/>
        </w:rPr>
        <w:t> </w:t>
      </w:r>
      <w:r w:rsidRPr="009400CE">
        <w:rPr>
          <w:color w:val="000000"/>
          <w:bdr w:val="none" w:sz="0" w:space="0" w:color="auto" w:frame="1"/>
        </w:rPr>
        <w:t>emotions,</w:t>
      </w:r>
      <w:r w:rsidRPr="009400CE">
        <w:rPr>
          <w:rFonts w:eastAsiaTheme="minorHAnsi" w:cstheme="minorBidi"/>
          <w:color w:val="000000"/>
          <w:bdr w:val="none" w:sz="0" w:space="0" w:color="auto" w:frame="1"/>
        </w:rPr>
        <w:t> </w:t>
      </w:r>
      <w:r w:rsidRPr="009400CE">
        <w:rPr>
          <w:color w:val="000000"/>
          <w:bdr w:val="none" w:sz="0" w:space="0" w:color="auto" w:frame="1"/>
        </w:rPr>
        <w:t>and</w:t>
      </w:r>
      <w:r w:rsidRPr="009400CE">
        <w:rPr>
          <w:rFonts w:eastAsiaTheme="minorHAnsi" w:cstheme="minorBidi"/>
          <w:color w:val="000000"/>
          <w:bdr w:val="none" w:sz="0" w:space="0" w:color="auto" w:frame="1"/>
        </w:rPr>
        <w:t> </w:t>
      </w:r>
      <w:r w:rsidRPr="009400CE">
        <w:rPr>
          <w:color w:val="000000"/>
          <w:bdr w:val="none" w:sz="0" w:space="0" w:color="auto" w:frame="1"/>
        </w:rPr>
        <w:t>achievement:</w:t>
      </w:r>
      <w:r w:rsidRPr="009400CE">
        <w:rPr>
          <w:rFonts w:eastAsiaTheme="minorHAnsi" w:cstheme="minorBidi"/>
          <w:color w:val="000000"/>
          <w:bdr w:val="none" w:sz="0" w:space="0" w:color="auto" w:frame="1"/>
        </w:rPr>
        <w:t> </w:t>
      </w:r>
      <w:r w:rsidRPr="009400CE">
        <w:rPr>
          <w:color w:val="000000"/>
          <w:bdr w:val="none" w:sz="0" w:space="0" w:color="auto" w:frame="1"/>
        </w:rPr>
        <w:t>A mediational analysis.</w:t>
      </w:r>
      <w:r>
        <w:rPr>
          <w:rFonts w:ascii="Helvetica Neue" w:hAnsi="Helvetica Neue"/>
          <w:color w:val="000000"/>
        </w:rPr>
        <w:t xml:space="preserve"> </w:t>
      </w:r>
      <w:r w:rsidRPr="009400CE">
        <w:rPr>
          <w:i/>
          <w:iCs/>
          <w:color w:val="000000"/>
          <w:bdr w:val="none" w:sz="0" w:space="0" w:color="auto" w:frame="1"/>
        </w:rPr>
        <w:t>The Asia-Paciﬁc Education Researcher</w:t>
      </w:r>
      <w:r w:rsidRPr="009400CE">
        <w:rPr>
          <w:color w:val="000000"/>
          <w:bdr w:val="none" w:sz="0" w:space="0" w:color="auto" w:frame="1"/>
        </w:rPr>
        <w:t>,</w:t>
      </w:r>
      <w:r>
        <w:rPr>
          <w:rFonts w:ascii="Helvetica Neue" w:hAnsi="Helvetica Neue"/>
          <w:color w:val="000000"/>
        </w:rPr>
        <w:t xml:space="preserve"> </w:t>
      </w:r>
      <w:r w:rsidRPr="009400CE">
        <w:rPr>
          <w:i/>
          <w:iCs/>
          <w:color w:val="000000"/>
          <w:bdr w:val="none" w:sz="0" w:space="0" w:color="auto" w:frame="1"/>
        </w:rPr>
        <w:t>20</w:t>
      </w:r>
      <w:r w:rsidRPr="009400CE">
        <w:rPr>
          <w:color w:val="000000"/>
          <w:bdr w:val="none" w:sz="0" w:space="0" w:color="auto" w:frame="1"/>
        </w:rPr>
        <w:t>, 118–126.</w:t>
      </w:r>
    </w:p>
    <w:p w14:paraId="797E9B12" w14:textId="64B4D228" w:rsidR="0022283E" w:rsidRDefault="0022283E" w:rsidP="00030275">
      <w:pPr>
        <w:ind w:left="720" w:hanging="720"/>
        <w:contextualSpacing/>
      </w:pPr>
      <w:r w:rsidRPr="00D71037">
        <w:t xml:space="preserve">Watt, H. (2004). </w:t>
      </w:r>
      <w:proofErr w:type="gramStart"/>
      <w:r w:rsidRPr="00D71037">
        <w:t>Development of adolescents’ self-perceptions, values, and task perceptions according to gender and domain in 7th- through 11th-grade Australian students.</w:t>
      </w:r>
      <w:proofErr w:type="gramEnd"/>
      <w:r w:rsidRPr="00D71037">
        <w:t xml:space="preserve"> </w:t>
      </w:r>
      <w:r w:rsidRPr="00D71037">
        <w:rPr>
          <w:i/>
        </w:rPr>
        <w:t xml:space="preserve">Child Development, 75, </w:t>
      </w:r>
      <w:r w:rsidRPr="00D71037">
        <w:t>1556–1574.</w:t>
      </w:r>
    </w:p>
    <w:p w14:paraId="313E9346" w14:textId="4F119AF9" w:rsidR="00A57FDC" w:rsidRDefault="00A57FDC" w:rsidP="00030275">
      <w:pPr>
        <w:ind w:left="720" w:hanging="720"/>
        <w:contextualSpacing/>
        <w:rPr>
          <w:rFonts w:eastAsiaTheme="minorHAnsi"/>
          <w:lang w:val="en-CA"/>
        </w:rPr>
      </w:pPr>
      <w:proofErr w:type="spellStart"/>
      <w:proofErr w:type="gramStart"/>
      <w:r w:rsidRPr="00D71037">
        <w:rPr>
          <w:rFonts w:eastAsiaTheme="minorHAnsi"/>
          <w:lang w:val="en-CA"/>
        </w:rPr>
        <w:t>Xie</w:t>
      </w:r>
      <w:proofErr w:type="spellEnd"/>
      <w:r w:rsidRPr="00D71037">
        <w:rPr>
          <w:rFonts w:eastAsiaTheme="minorHAnsi"/>
          <w:lang w:val="en-CA"/>
        </w:rPr>
        <w:t xml:space="preserve">, Y., &amp; </w:t>
      </w:r>
      <w:proofErr w:type="spellStart"/>
      <w:r w:rsidRPr="00D71037">
        <w:rPr>
          <w:rFonts w:eastAsiaTheme="minorHAnsi"/>
          <w:lang w:val="en-CA"/>
        </w:rPr>
        <w:t>Achen</w:t>
      </w:r>
      <w:proofErr w:type="spellEnd"/>
      <w:r w:rsidRPr="00D71037">
        <w:rPr>
          <w:rFonts w:eastAsiaTheme="minorHAnsi"/>
          <w:lang w:val="en-CA"/>
        </w:rPr>
        <w:t>, A. (2009).</w:t>
      </w:r>
      <w:proofErr w:type="gramEnd"/>
      <w:r w:rsidRPr="00D71037">
        <w:rPr>
          <w:rFonts w:eastAsiaTheme="minorHAnsi"/>
          <w:lang w:val="en-CA"/>
        </w:rPr>
        <w:t xml:space="preserve"> </w:t>
      </w:r>
      <w:proofErr w:type="gramStart"/>
      <w:r w:rsidRPr="00D71037">
        <w:rPr>
          <w:rFonts w:eastAsiaTheme="minorHAnsi"/>
          <w:i/>
          <w:lang w:val="en-CA"/>
        </w:rPr>
        <w:t>Science on the decline?</w:t>
      </w:r>
      <w:proofErr w:type="gramEnd"/>
      <w:r w:rsidRPr="00D71037">
        <w:rPr>
          <w:rFonts w:eastAsiaTheme="minorHAnsi"/>
          <w:i/>
          <w:lang w:val="en-CA"/>
        </w:rPr>
        <w:t xml:space="preserve"> </w:t>
      </w:r>
      <w:proofErr w:type="gramStart"/>
      <w:r w:rsidRPr="00D71037">
        <w:rPr>
          <w:rFonts w:eastAsiaTheme="minorHAnsi"/>
          <w:i/>
          <w:lang w:val="en-CA"/>
        </w:rPr>
        <w:t>Educational outcomes of three cohorts of young Americans.</w:t>
      </w:r>
      <w:proofErr w:type="gramEnd"/>
      <w:r w:rsidRPr="00D71037">
        <w:rPr>
          <w:rFonts w:eastAsiaTheme="minorHAnsi"/>
          <w:i/>
          <w:lang w:val="en-CA"/>
        </w:rPr>
        <w:t xml:space="preserve"> Population Studies Center Research Report 09</w:t>
      </w:r>
      <w:r w:rsidR="00AA113A">
        <w:rPr>
          <w:rFonts w:eastAsiaTheme="minorHAnsi"/>
          <w:i/>
          <w:lang w:val="en-CA"/>
        </w:rPr>
        <w:t>-</w:t>
      </w:r>
      <w:r w:rsidRPr="00D71037">
        <w:rPr>
          <w:rFonts w:eastAsiaTheme="minorHAnsi"/>
          <w:i/>
          <w:lang w:val="en-CA"/>
        </w:rPr>
        <w:t>684.</w:t>
      </w:r>
      <w:r w:rsidRPr="00D71037">
        <w:rPr>
          <w:rFonts w:eastAsiaTheme="minorHAnsi"/>
          <w:lang w:val="en-CA"/>
        </w:rPr>
        <w:t xml:space="preserve"> Ann Arbor, MI: University of Michigan, Institute for Social Research.</w:t>
      </w:r>
    </w:p>
    <w:p w14:paraId="71A070C7" w14:textId="273BC91A" w:rsidR="00947794" w:rsidRDefault="00947794" w:rsidP="00030275">
      <w:pPr>
        <w:contextualSpacing/>
        <w:rPr>
          <w:i/>
          <w:iCs/>
          <w:lang w:val="en-CA"/>
        </w:rPr>
      </w:pPr>
      <w:r>
        <w:rPr>
          <w:lang w:val="en-CA"/>
        </w:rPr>
        <w:t>Zimmerman, B. J. (2000). Self</w:t>
      </w:r>
      <w:r w:rsidR="00AA113A">
        <w:rPr>
          <w:lang w:val="en-CA"/>
        </w:rPr>
        <w:t>-</w:t>
      </w:r>
      <w:r>
        <w:rPr>
          <w:lang w:val="en-CA"/>
        </w:rPr>
        <w:t xml:space="preserve">efficacy: </w:t>
      </w:r>
      <w:r w:rsidR="00030275">
        <w:rPr>
          <w:lang w:val="en-CA"/>
        </w:rPr>
        <w:t>A</w:t>
      </w:r>
      <w:r>
        <w:rPr>
          <w:lang w:val="en-CA"/>
        </w:rPr>
        <w:t xml:space="preserve">n essential motive to learn. </w:t>
      </w:r>
      <w:r>
        <w:rPr>
          <w:i/>
          <w:iCs/>
          <w:lang w:val="en-CA"/>
        </w:rPr>
        <w:t xml:space="preserve">Contemporary </w:t>
      </w:r>
    </w:p>
    <w:p w14:paraId="0CBBE852" w14:textId="3ED7FB73" w:rsidR="00192B01" w:rsidRDefault="00947794" w:rsidP="00030275">
      <w:pPr>
        <w:ind w:firstLine="720"/>
        <w:contextualSpacing/>
        <w:rPr>
          <w:lang w:val="en-CA"/>
        </w:rPr>
      </w:pPr>
      <w:r>
        <w:rPr>
          <w:i/>
          <w:iCs/>
          <w:lang w:val="en-CA"/>
        </w:rPr>
        <w:t>Educational Psychology</w:t>
      </w:r>
      <w:r>
        <w:rPr>
          <w:lang w:val="en-CA"/>
        </w:rPr>
        <w:t xml:space="preserve">, </w:t>
      </w:r>
      <w:r>
        <w:rPr>
          <w:i/>
          <w:iCs/>
          <w:lang w:val="en-CA"/>
        </w:rPr>
        <w:t>25</w:t>
      </w:r>
      <w:r>
        <w:rPr>
          <w:lang w:val="en-CA"/>
        </w:rPr>
        <w:t>, 82</w:t>
      </w:r>
      <w:r w:rsidR="00075DC3">
        <w:rPr>
          <w:lang w:val="en-CA"/>
        </w:rPr>
        <w:t>–</w:t>
      </w:r>
      <w:r>
        <w:rPr>
          <w:lang w:val="en-CA"/>
        </w:rPr>
        <w:t>91.</w:t>
      </w:r>
    </w:p>
    <w:sectPr w:rsidR="00192B01" w:rsidSect="00CD0241">
      <w:headerReference w:type="default" r:id="rId17"/>
      <w:head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FAC05" w14:textId="77777777" w:rsidR="00AD2769" w:rsidRDefault="00AD2769" w:rsidP="00CF3631">
      <w:r>
        <w:separator/>
      </w:r>
    </w:p>
  </w:endnote>
  <w:endnote w:type="continuationSeparator" w:id="0">
    <w:p w14:paraId="79D41D00" w14:textId="77777777" w:rsidR="00AD2769" w:rsidRDefault="00AD2769" w:rsidP="00CF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Malgun Gothic"/>
    <w:charset w:val="00"/>
    <w:family w:val="auto"/>
    <w:pitch w:val="variable"/>
    <w:sig w:usb0="00000003"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3E1E8" w14:textId="77777777" w:rsidR="00AD2769" w:rsidRDefault="00AD2769" w:rsidP="00CF3631">
      <w:r>
        <w:separator/>
      </w:r>
    </w:p>
  </w:footnote>
  <w:footnote w:type="continuationSeparator" w:id="0">
    <w:p w14:paraId="5B6C8E27" w14:textId="77777777" w:rsidR="00AD2769" w:rsidRDefault="00AD2769" w:rsidP="00CF3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16F09" w14:textId="189A08A8" w:rsidR="00CD0241" w:rsidRPr="00CD0241" w:rsidRDefault="00CD0241" w:rsidP="00CD0241">
    <w:pPr>
      <w:pStyle w:val="Header"/>
      <w:tabs>
        <w:tab w:val="clear" w:pos="4320"/>
        <w:tab w:val="clear" w:pos="8640"/>
      </w:tabs>
      <w:rPr>
        <w:lang w:val="en-US"/>
      </w:rPr>
    </w:pPr>
    <w:r w:rsidRPr="00F53A6C">
      <w:rPr>
        <w:iCs/>
        <w:lang w:val="en-US"/>
      </w:rPr>
      <w:t>EXPLORING STUDENT PERSISTENCE IN STEM PROGRAMS</w:t>
    </w:r>
    <w:r>
      <w:rPr>
        <w:iCs/>
        <w:lang w:val="en-US"/>
      </w:rPr>
      <w:t xml:space="preserve">     </w:t>
    </w:r>
    <w:r>
      <w:rPr>
        <w:lang w:val="en-US"/>
      </w:rPr>
      <w:t xml:space="preserve">     </w:t>
    </w:r>
    <w:r>
      <w:rPr>
        <w:lang w:val="en-US"/>
      </w:rPr>
      <w:tab/>
    </w:r>
    <w:r>
      <w:rPr>
        <w:lang w:val="en-US"/>
      </w:rPr>
      <w:tab/>
      <w:t xml:space="preserve">                    </w:t>
    </w:r>
    <w:sdt>
      <w:sdtPr>
        <w:id w:val="10309146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B2C0B">
          <w:rPr>
            <w:noProof/>
          </w:rPr>
          <w:t>2</w:t>
        </w:r>
        <w:r>
          <w:rPr>
            <w:noProof/>
          </w:rPr>
          <w:fldChar w:fldCharType="end"/>
        </w:r>
      </w:sdtContent>
    </w:sdt>
  </w:p>
  <w:p w14:paraId="6675B9F7" w14:textId="59D40144" w:rsidR="00CD0241" w:rsidRPr="00CD0241" w:rsidRDefault="00CD0241">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DA3AF" w14:textId="1ECC32B2" w:rsidR="00CD0241" w:rsidRPr="00F53A6C" w:rsidRDefault="00CD0241" w:rsidP="00CD0241">
    <w:pPr>
      <w:pStyle w:val="Header"/>
      <w:tabs>
        <w:tab w:val="clear" w:pos="4320"/>
        <w:tab w:val="clear" w:pos="8640"/>
      </w:tabs>
      <w:rPr>
        <w:lang w:val="en-US"/>
      </w:rPr>
    </w:pPr>
    <w:r>
      <w:rPr>
        <w:lang w:val="en-US"/>
      </w:rPr>
      <w:t xml:space="preserve">Running head: </w:t>
    </w:r>
    <w:r w:rsidRPr="00F53A6C">
      <w:rPr>
        <w:iCs/>
        <w:lang w:val="en-US"/>
      </w:rPr>
      <w:t>EXPLORING STUDENT PERSISTENCE IN STEM PROGRAMS</w:t>
    </w:r>
    <w:r>
      <w:rPr>
        <w:iCs/>
        <w:lang w:val="en-US"/>
      </w:rPr>
      <w:t xml:space="preserve"> </w:t>
    </w:r>
    <w:r>
      <w:rPr>
        <w:iCs/>
        <w:lang w:val="en-US"/>
      </w:rPr>
      <w:tab/>
      <w:t xml:space="preserve">          1</w:t>
    </w:r>
  </w:p>
  <w:p w14:paraId="7602232B" w14:textId="77777777" w:rsidR="00CD0241" w:rsidRPr="00CD0241" w:rsidRDefault="00CD0241">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1524"/>
    <w:multiLevelType w:val="hybridMultilevel"/>
    <w:tmpl w:val="015C9CD0"/>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3E92713"/>
    <w:multiLevelType w:val="hybridMultilevel"/>
    <w:tmpl w:val="578885E6"/>
    <w:lvl w:ilvl="0" w:tplc="CB5872D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4876464"/>
    <w:multiLevelType w:val="hybridMultilevel"/>
    <w:tmpl w:val="775442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B0D2F1C"/>
    <w:multiLevelType w:val="hybridMultilevel"/>
    <w:tmpl w:val="F23C908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B670E08"/>
    <w:multiLevelType w:val="hybridMultilevel"/>
    <w:tmpl w:val="8ECC94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59E08B0"/>
    <w:multiLevelType w:val="hybridMultilevel"/>
    <w:tmpl w:val="E7BCDC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22E01A5"/>
    <w:multiLevelType w:val="hybridMultilevel"/>
    <w:tmpl w:val="6EE0E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3C3067A"/>
    <w:multiLevelType w:val="hybridMultilevel"/>
    <w:tmpl w:val="837A3F9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6E93BFA"/>
    <w:multiLevelType w:val="hybridMultilevel"/>
    <w:tmpl w:val="746276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C9A194B"/>
    <w:multiLevelType w:val="hybridMultilevel"/>
    <w:tmpl w:val="39B4078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5E63D8E"/>
    <w:multiLevelType w:val="hybridMultilevel"/>
    <w:tmpl w:val="29CA94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2"/>
  </w:num>
  <w:num w:numId="4">
    <w:abstractNumId w:val="10"/>
  </w:num>
  <w:num w:numId="5">
    <w:abstractNumId w:val="9"/>
  </w:num>
  <w:num w:numId="6">
    <w:abstractNumId w:val="5"/>
  </w:num>
  <w:num w:numId="7">
    <w:abstractNumId w:val="8"/>
  </w:num>
  <w:num w:numId="8">
    <w:abstractNumId w:val="7"/>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C97"/>
    <w:rsid w:val="00014882"/>
    <w:rsid w:val="00015598"/>
    <w:rsid w:val="00015C4A"/>
    <w:rsid w:val="00024714"/>
    <w:rsid w:val="00024CAD"/>
    <w:rsid w:val="000258F6"/>
    <w:rsid w:val="00030275"/>
    <w:rsid w:val="00031A94"/>
    <w:rsid w:val="00033417"/>
    <w:rsid w:val="00036652"/>
    <w:rsid w:val="00040E13"/>
    <w:rsid w:val="00044D01"/>
    <w:rsid w:val="0004772F"/>
    <w:rsid w:val="00051F5F"/>
    <w:rsid w:val="00055948"/>
    <w:rsid w:val="00062FAE"/>
    <w:rsid w:val="000650E8"/>
    <w:rsid w:val="000652BD"/>
    <w:rsid w:val="00071723"/>
    <w:rsid w:val="00075883"/>
    <w:rsid w:val="00075DC3"/>
    <w:rsid w:val="00077246"/>
    <w:rsid w:val="00077B41"/>
    <w:rsid w:val="000814A7"/>
    <w:rsid w:val="00085663"/>
    <w:rsid w:val="00087340"/>
    <w:rsid w:val="00094AE0"/>
    <w:rsid w:val="000A1821"/>
    <w:rsid w:val="000A20A4"/>
    <w:rsid w:val="000A261D"/>
    <w:rsid w:val="000A4B90"/>
    <w:rsid w:val="000A7163"/>
    <w:rsid w:val="000B5ECE"/>
    <w:rsid w:val="000D03DD"/>
    <w:rsid w:val="000D47FC"/>
    <w:rsid w:val="000E1383"/>
    <w:rsid w:val="000F14F2"/>
    <w:rsid w:val="000F5351"/>
    <w:rsid w:val="000F6340"/>
    <w:rsid w:val="000F66A3"/>
    <w:rsid w:val="000F7324"/>
    <w:rsid w:val="00100AE8"/>
    <w:rsid w:val="001021B6"/>
    <w:rsid w:val="00106440"/>
    <w:rsid w:val="00116508"/>
    <w:rsid w:val="00117F1E"/>
    <w:rsid w:val="001200EC"/>
    <w:rsid w:val="0012135C"/>
    <w:rsid w:val="00123A03"/>
    <w:rsid w:val="00125933"/>
    <w:rsid w:val="00131354"/>
    <w:rsid w:val="0013220F"/>
    <w:rsid w:val="00132DB6"/>
    <w:rsid w:val="00135587"/>
    <w:rsid w:val="00142714"/>
    <w:rsid w:val="00147A2A"/>
    <w:rsid w:val="0015052A"/>
    <w:rsid w:val="001514AF"/>
    <w:rsid w:val="001532EA"/>
    <w:rsid w:val="00153DD7"/>
    <w:rsid w:val="00167D79"/>
    <w:rsid w:val="00167E65"/>
    <w:rsid w:val="00172E37"/>
    <w:rsid w:val="00181505"/>
    <w:rsid w:val="00185033"/>
    <w:rsid w:val="001854EE"/>
    <w:rsid w:val="00191D42"/>
    <w:rsid w:val="001921A7"/>
    <w:rsid w:val="00192B01"/>
    <w:rsid w:val="00194760"/>
    <w:rsid w:val="001A00C5"/>
    <w:rsid w:val="001A0276"/>
    <w:rsid w:val="001A15B6"/>
    <w:rsid w:val="001A1604"/>
    <w:rsid w:val="001A4095"/>
    <w:rsid w:val="001A4AF5"/>
    <w:rsid w:val="001A5DA5"/>
    <w:rsid w:val="001A7896"/>
    <w:rsid w:val="001B039F"/>
    <w:rsid w:val="001B1256"/>
    <w:rsid w:val="001B4C4B"/>
    <w:rsid w:val="001B56B1"/>
    <w:rsid w:val="001B5C84"/>
    <w:rsid w:val="001B6F0D"/>
    <w:rsid w:val="001C058B"/>
    <w:rsid w:val="001C4D41"/>
    <w:rsid w:val="001D413A"/>
    <w:rsid w:val="001E175D"/>
    <w:rsid w:val="001E6A30"/>
    <w:rsid w:val="001F351D"/>
    <w:rsid w:val="00204AD5"/>
    <w:rsid w:val="00204C88"/>
    <w:rsid w:val="00205B3E"/>
    <w:rsid w:val="00210E2E"/>
    <w:rsid w:val="00216EB1"/>
    <w:rsid w:val="0022283E"/>
    <w:rsid w:val="00226A38"/>
    <w:rsid w:val="00226CD7"/>
    <w:rsid w:val="00234690"/>
    <w:rsid w:val="0023581F"/>
    <w:rsid w:val="00235C91"/>
    <w:rsid w:val="00235EDF"/>
    <w:rsid w:val="00236742"/>
    <w:rsid w:val="00240A57"/>
    <w:rsid w:val="002452D0"/>
    <w:rsid w:val="0024536F"/>
    <w:rsid w:val="002466DC"/>
    <w:rsid w:val="00246D1D"/>
    <w:rsid w:val="00250EA9"/>
    <w:rsid w:val="00252CEF"/>
    <w:rsid w:val="002574C0"/>
    <w:rsid w:val="00263EF0"/>
    <w:rsid w:val="00266860"/>
    <w:rsid w:val="00267525"/>
    <w:rsid w:val="002730B7"/>
    <w:rsid w:val="002735A8"/>
    <w:rsid w:val="00275762"/>
    <w:rsid w:val="00291F74"/>
    <w:rsid w:val="002957D7"/>
    <w:rsid w:val="00296DBE"/>
    <w:rsid w:val="002A753D"/>
    <w:rsid w:val="002B0455"/>
    <w:rsid w:val="002B7721"/>
    <w:rsid w:val="002B7BFE"/>
    <w:rsid w:val="002C17D0"/>
    <w:rsid w:val="002C3164"/>
    <w:rsid w:val="002D5DE1"/>
    <w:rsid w:val="002E2536"/>
    <w:rsid w:val="002F36BA"/>
    <w:rsid w:val="002F3A35"/>
    <w:rsid w:val="00305834"/>
    <w:rsid w:val="00305BDB"/>
    <w:rsid w:val="0031499B"/>
    <w:rsid w:val="003274B6"/>
    <w:rsid w:val="00335D45"/>
    <w:rsid w:val="00336BBE"/>
    <w:rsid w:val="00342FFF"/>
    <w:rsid w:val="00343267"/>
    <w:rsid w:val="00346186"/>
    <w:rsid w:val="00350FFE"/>
    <w:rsid w:val="003632E1"/>
    <w:rsid w:val="00370CB2"/>
    <w:rsid w:val="00371794"/>
    <w:rsid w:val="00374B97"/>
    <w:rsid w:val="00376075"/>
    <w:rsid w:val="0038249F"/>
    <w:rsid w:val="00382B86"/>
    <w:rsid w:val="00383E34"/>
    <w:rsid w:val="00386E86"/>
    <w:rsid w:val="0039235F"/>
    <w:rsid w:val="00392C7C"/>
    <w:rsid w:val="00394616"/>
    <w:rsid w:val="00394BF4"/>
    <w:rsid w:val="0039568D"/>
    <w:rsid w:val="003A2AA6"/>
    <w:rsid w:val="003A4085"/>
    <w:rsid w:val="003A5082"/>
    <w:rsid w:val="003A59E1"/>
    <w:rsid w:val="003A611B"/>
    <w:rsid w:val="003B03C8"/>
    <w:rsid w:val="003B0C6E"/>
    <w:rsid w:val="003B1005"/>
    <w:rsid w:val="003B1ECF"/>
    <w:rsid w:val="003B2C0B"/>
    <w:rsid w:val="003C005C"/>
    <w:rsid w:val="003C2172"/>
    <w:rsid w:val="003C25A5"/>
    <w:rsid w:val="003C2AF8"/>
    <w:rsid w:val="003D2CD8"/>
    <w:rsid w:val="003D691C"/>
    <w:rsid w:val="003D7BD0"/>
    <w:rsid w:val="003E02C1"/>
    <w:rsid w:val="003E07EE"/>
    <w:rsid w:val="003E2E00"/>
    <w:rsid w:val="003E3D80"/>
    <w:rsid w:val="003E519F"/>
    <w:rsid w:val="003F24FB"/>
    <w:rsid w:val="003F4737"/>
    <w:rsid w:val="004035D1"/>
    <w:rsid w:val="004057C9"/>
    <w:rsid w:val="004109DF"/>
    <w:rsid w:val="0041535B"/>
    <w:rsid w:val="0041722D"/>
    <w:rsid w:val="004239E4"/>
    <w:rsid w:val="00424293"/>
    <w:rsid w:val="00424526"/>
    <w:rsid w:val="00426269"/>
    <w:rsid w:val="00426573"/>
    <w:rsid w:val="0042743B"/>
    <w:rsid w:val="00431D15"/>
    <w:rsid w:val="0043435B"/>
    <w:rsid w:val="00436B7D"/>
    <w:rsid w:val="00437EF5"/>
    <w:rsid w:val="00447FFA"/>
    <w:rsid w:val="0045493A"/>
    <w:rsid w:val="00461D10"/>
    <w:rsid w:val="004813E6"/>
    <w:rsid w:val="00487018"/>
    <w:rsid w:val="00487379"/>
    <w:rsid w:val="0048764C"/>
    <w:rsid w:val="004A08F1"/>
    <w:rsid w:val="004A16BE"/>
    <w:rsid w:val="004A5382"/>
    <w:rsid w:val="004B0784"/>
    <w:rsid w:val="004B2DB9"/>
    <w:rsid w:val="004C18C4"/>
    <w:rsid w:val="004C66E3"/>
    <w:rsid w:val="004C6766"/>
    <w:rsid w:val="004D4A82"/>
    <w:rsid w:val="004E439E"/>
    <w:rsid w:val="004E45E8"/>
    <w:rsid w:val="004E6078"/>
    <w:rsid w:val="005066F2"/>
    <w:rsid w:val="00507342"/>
    <w:rsid w:val="00507F37"/>
    <w:rsid w:val="00516ACD"/>
    <w:rsid w:val="00521690"/>
    <w:rsid w:val="00525D4A"/>
    <w:rsid w:val="00525F52"/>
    <w:rsid w:val="005313B4"/>
    <w:rsid w:val="005327ED"/>
    <w:rsid w:val="00532F34"/>
    <w:rsid w:val="0053441E"/>
    <w:rsid w:val="0053714A"/>
    <w:rsid w:val="00543078"/>
    <w:rsid w:val="00543BF2"/>
    <w:rsid w:val="00544C97"/>
    <w:rsid w:val="00552122"/>
    <w:rsid w:val="00562BE1"/>
    <w:rsid w:val="0056502F"/>
    <w:rsid w:val="0057228A"/>
    <w:rsid w:val="00582885"/>
    <w:rsid w:val="00584880"/>
    <w:rsid w:val="00587E2C"/>
    <w:rsid w:val="005908F7"/>
    <w:rsid w:val="00597334"/>
    <w:rsid w:val="005A12D9"/>
    <w:rsid w:val="005B0990"/>
    <w:rsid w:val="005B56BE"/>
    <w:rsid w:val="005B61F9"/>
    <w:rsid w:val="005B744F"/>
    <w:rsid w:val="005C00C3"/>
    <w:rsid w:val="005C341D"/>
    <w:rsid w:val="005C4FCB"/>
    <w:rsid w:val="005C6858"/>
    <w:rsid w:val="005C6FA8"/>
    <w:rsid w:val="005D0639"/>
    <w:rsid w:val="005D24AB"/>
    <w:rsid w:val="005D2E8A"/>
    <w:rsid w:val="005D59DB"/>
    <w:rsid w:val="005D6CC4"/>
    <w:rsid w:val="005D7568"/>
    <w:rsid w:val="005D756F"/>
    <w:rsid w:val="005E1E14"/>
    <w:rsid w:val="005F4B11"/>
    <w:rsid w:val="005F7840"/>
    <w:rsid w:val="005F7844"/>
    <w:rsid w:val="005F7CDE"/>
    <w:rsid w:val="00604C79"/>
    <w:rsid w:val="006105CC"/>
    <w:rsid w:val="0061120A"/>
    <w:rsid w:val="00612711"/>
    <w:rsid w:val="00615A99"/>
    <w:rsid w:val="00616085"/>
    <w:rsid w:val="00621673"/>
    <w:rsid w:val="006216C7"/>
    <w:rsid w:val="00625C29"/>
    <w:rsid w:val="006274AC"/>
    <w:rsid w:val="00627664"/>
    <w:rsid w:val="006301FD"/>
    <w:rsid w:val="00630B09"/>
    <w:rsid w:val="006558EB"/>
    <w:rsid w:val="00657708"/>
    <w:rsid w:val="0066113F"/>
    <w:rsid w:val="00663381"/>
    <w:rsid w:val="0066747D"/>
    <w:rsid w:val="00682CAE"/>
    <w:rsid w:val="00685043"/>
    <w:rsid w:val="006857C9"/>
    <w:rsid w:val="00690C89"/>
    <w:rsid w:val="0069588F"/>
    <w:rsid w:val="00696882"/>
    <w:rsid w:val="00696B4A"/>
    <w:rsid w:val="006A0EA4"/>
    <w:rsid w:val="006A6D9E"/>
    <w:rsid w:val="006A7D3E"/>
    <w:rsid w:val="006B40B5"/>
    <w:rsid w:val="006C3A86"/>
    <w:rsid w:val="006C3C4E"/>
    <w:rsid w:val="006C4C1F"/>
    <w:rsid w:val="006C5B5A"/>
    <w:rsid w:val="006C655B"/>
    <w:rsid w:val="006C7E81"/>
    <w:rsid w:val="006D04CF"/>
    <w:rsid w:val="006D479E"/>
    <w:rsid w:val="006D62DA"/>
    <w:rsid w:val="006E20B3"/>
    <w:rsid w:val="006E3912"/>
    <w:rsid w:val="006E3F97"/>
    <w:rsid w:val="006F4625"/>
    <w:rsid w:val="006F738C"/>
    <w:rsid w:val="00702D54"/>
    <w:rsid w:val="007036F5"/>
    <w:rsid w:val="00704C53"/>
    <w:rsid w:val="00714351"/>
    <w:rsid w:val="007145F7"/>
    <w:rsid w:val="0071748A"/>
    <w:rsid w:val="007213F8"/>
    <w:rsid w:val="00733EB3"/>
    <w:rsid w:val="00736A9F"/>
    <w:rsid w:val="0073738F"/>
    <w:rsid w:val="0073750E"/>
    <w:rsid w:val="00750023"/>
    <w:rsid w:val="007559F1"/>
    <w:rsid w:val="0075710C"/>
    <w:rsid w:val="00760C48"/>
    <w:rsid w:val="00770B23"/>
    <w:rsid w:val="00774D3C"/>
    <w:rsid w:val="00775798"/>
    <w:rsid w:val="00775EC4"/>
    <w:rsid w:val="00781552"/>
    <w:rsid w:val="00785568"/>
    <w:rsid w:val="0078593B"/>
    <w:rsid w:val="00786574"/>
    <w:rsid w:val="00790F12"/>
    <w:rsid w:val="00791D53"/>
    <w:rsid w:val="0079291E"/>
    <w:rsid w:val="007961D7"/>
    <w:rsid w:val="00796D37"/>
    <w:rsid w:val="007A0508"/>
    <w:rsid w:val="007B099B"/>
    <w:rsid w:val="007B2740"/>
    <w:rsid w:val="007B65E1"/>
    <w:rsid w:val="007B7C0C"/>
    <w:rsid w:val="007C0587"/>
    <w:rsid w:val="007C3904"/>
    <w:rsid w:val="007C4388"/>
    <w:rsid w:val="007D26C3"/>
    <w:rsid w:val="007D36EB"/>
    <w:rsid w:val="007D3D79"/>
    <w:rsid w:val="007D5674"/>
    <w:rsid w:val="007E13BE"/>
    <w:rsid w:val="007E1704"/>
    <w:rsid w:val="007F0B2E"/>
    <w:rsid w:val="007F169D"/>
    <w:rsid w:val="007F1BE9"/>
    <w:rsid w:val="007F2202"/>
    <w:rsid w:val="007F5B2F"/>
    <w:rsid w:val="008024CC"/>
    <w:rsid w:val="00804075"/>
    <w:rsid w:val="00805D57"/>
    <w:rsid w:val="0080756B"/>
    <w:rsid w:val="008207E9"/>
    <w:rsid w:val="00822443"/>
    <w:rsid w:val="008253ED"/>
    <w:rsid w:val="008327C9"/>
    <w:rsid w:val="00833953"/>
    <w:rsid w:val="008343E4"/>
    <w:rsid w:val="008364A9"/>
    <w:rsid w:val="0084098B"/>
    <w:rsid w:val="0084160F"/>
    <w:rsid w:val="00846931"/>
    <w:rsid w:val="00852C29"/>
    <w:rsid w:val="00860E84"/>
    <w:rsid w:val="00862353"/>
    <w:rsid w:val="00866C9C"/>
    <w:rsid w:val="00867B9C"/>
    <w:rsid w:val="00867BFC"/>
    <w:rsid w:val="00867E70"/>
    <w:rsid w:val="00875EE3"/>
    <w:rsid w:val="00887FE6"/>
    <w:rsid w:val="00890116"/>
    <w:rsid w:val="00893314"/>
    <w:rsid w:val="00893EA2"/>
    <w:rsid w:val="008947D6"/>
    <w:rsid w:val="008947F1"/>
    <w:rsid w:val="008A3446"/>
    <w:rsid w:val="008B1126"/>
    <w:rsid w:val="008B2B16"/>
    <w:rsid w:val="008B3343"/>
    <w:rsid w:val="008B5106"/>
    <w:rsid w:val="008B56DD"/>
    <w:rsid w:val="008B5FEA"/>
    <w:rsid w:val="008C0251"/>
    <w:rsid w:val="008D11C4"/>
    <w:rsid w:val="008D4139"/>
    <w:rsid w:val="008E12D6"/>
    <w:rsid w:val="008E148E"/>
    <w:rsid w:val="008E4D68"/>
    <w:rsid w:val="008E5BA9"/>
    <w:rsid w:val="008E764C"/>
    <w:rsid w:val="008F5741"/>
    <w:rsid w:val="009013AC"/>
    <w:rsid w:val="00904A4E"/>
    <w:rsid w:val="00910B73"/>
    <w:rsid w:val="00911150"/>
    <w:rsid w:val="00922604"/>
    <w:rsid w:val="00922CEF"/>
    <w:rsid w:val="00927747"/>
    <w:rsid w:val="00937DEB"/>
    <w:rsid w:val="00942200"/>
    <w:rsid w:val="0094367E"/>
    <w:rsid w:val="00947376"/>
    <w:rsid w:val="00947794"/>
    <w:rsid w:val="009500F3"/>
    <w:rsid w:val="009518C6"/>
    <w:rsid w:val="00953EF2"/>
    <w:rsid w:val="00964C95"/>
    <w:rsid w:val="00967FD9"/>
    <w:rsid w:val="009739B2"/>
    <w:rsid w:val="00973F7B"/>
    <w:rsid w:val="00974670"/>
    <w:rsid w:val="009753DD"/>
    <w:rsid w:val="0098129B"/>
    <w:rsid w:val="00985FC9"/>
    <w:rsid w:val="0099215E"/>
    <w:rsid w:val="009925A2"/>
    <w:rsid w:val="009943B3"/>
    <w:rsid w:val="009A18BB"/>
    <w:rsid w:val="009B1164"/>
    <w:rsid w:val="009B42F3"/>
    <w:rsid w:val="009D0F58"/>
    <w:rsid w:val="009D151C"/>
    <w:rsid w:val="009D424B"/>
    <w:rsid w:val="009D5931"/>
    <w:rsid w:val="009D79AC"/>
    <w:rsid w:val="009E2458"/>
    <w:rsid w:val="009F0DE0"/>
    <w:rsid w:val="009F283C"/>
    <w:rsid w:val="009F51C7"/>
    <w:rsid w:val="00A02A0C"/>
    <w:rsid w:val="00A039E0"/>
    <w:rsid w:val="00A05559"/>
    <w:rsid w:val="00A1306C"/>
    <w:rsid w:val="00A151AC"/>
    <w:rsid w:val="00A15C57"/>
    <w:rsid w:val="00A201E1"/>
    <w:rsid w:val="00A24D87"/>
    <w:rsid w:val="00A35193"/>
    <w:rsid w:val="00A35278"/>
    <w:rsid w:val="00A36E70"/>
    <w:rsid w:val="00A419DC"/>
    <w:rsid w:val="00A45ECA"/>
    <w:rsid w:val="00A52AFA"/>
    <w:rsid w:val="00A55AFA"/>
    <w:rsid w:val="00A566C5"/>
    <w:rsid w:val="00A57FDC"/>
    <w:rsid w:val="00A60137"/>
    <w:rsid w:val="00A61124"/>
    <w:rsid w:val="00A711C0"/>
    <w:rsid w:val="00A71E0C"/>
    <w:rsid w:val="00A71E72"/>
    <w:rsid w:val="00A7677D"/>
    <w:rsid w:val="00A8072A"/>
    <w:rsid w:val="00A834D2"/>
    <w:rsid w:val="00A854BB"/>
    <w:rsid w:val="00A9718F"/>
    <w:rsid w:val="00A97F9C"/>
    <w:rsid w:val="00AA113A"/>
    <w:rsid w:val="00AA2D09"/>
    <w:rsid w:val="00AA5DF0"/>
    <w:rsid w:val="00AB4B0E"/>
    <w:rsid w:val="00AB67D1"/>
    <w:rsid w:val="00AB7B41"/>
    <w:rsid w:val="00AC4525"/>
    <w:rsid w:val="00AC4F72"/>
    <w:rsid w:val="00AC72AF"/>
    <w:rsid w:val="00AC7F05"/>
    <w:rsid w:val="00AD06A9"/>
    <w:rsid w:val="00AD0A34"/>
    <w:rsid w:val="00AD2769"/>
    <w:rsid w:val="00AD47BA"/>
    <w:rsid w:val="00AD732E"/>
    <w:rsid w:val="00AD7C10"/>
    <w:rsid w:val="00AE090A"/>
    <w:rsid w:val="00AE3021"/>
    <w:rsid w:val="00AE37DF"/>
    <w:rsid w:val="00AF1CE0"/>
    <w:rsid w:val="00AF48D9"/>
    <w:rsid w:val="00AF747B"/>
    <w:rsid w:val="00AF7E38"/>
    <w:rsid w:val="00B029AF"/>
    <w:rsid w:val="00B07DC7"/>
    <w:rsid w:val="00B13706"/>
    <w:rsid w:val="00B1375A"/>
    <w:rsid w:val="00B13B41"/>
    <w:rsid w:val="00B21F14"/>
    <w:rsid w:val="00B31E72"/>
    <w:rsid w:val="00B35A57"/>
    <w:rsid w:val="00B373B1"/>
    <w:rsid w:val="00B41A94"/>
    <w:rsid w:val="00B461B7"/>
    <w:rsid w:val="00B53FA9"/>
    <w:rsid w:val="00B55917"/>
    <w:rsid w:val="00B60347"/>
    <w:rsid w:val="00B639F4"/>
    <w:rsid w:val="00B65BFA"/>
    <w:rsid w:val="00B65C7D"/>
    <w:rsid w:val="00B71BDE"/>
    <w:rsid w:val="00B76A0F"/>
    <w:rsid w:val="00B76BAA"/>
    <w:rsid w:val="00B82C02"/>
    <w:rsid w:val="00B8582B"/>
    <w:rsid w:val="00B9629A"/>
    <w:rsid w:val="00B972C8"/>
    <w:rsid w:val="00BA1088"/>
    <w:rsid w:val="00BA11EC"/>
    <w:rsid w:val="00BB6746"/>
    <w:rsid w:val="00BC2857"/>
    <w:rsid w:val="00BC7AA5"/>
    <w:rsid w:val="00BD0585"/>
    <w:rsid w:val="00BD4717"/>
    <w:rsid w:val="00BD6C6A"/>
    <w:rsid w:val="00BE01B4"/>
    <w:rsid w:val="00BE1BA9"/>
    <w:rsid w:val="00BF0508"/>
    <w:rsid w:val="00BF08B2"/>
    <w:rsid w:val="00BF1D79"/>
    <w:rsid w:val="00BF712B"/>
    <w:rsid w:val="00C05B70"/>
    <w:rsid w:val="00C126F6"/>
    <w:rsid w:val="00C130B5"/>
    <w:rsid w:val="00C15A82"/>
    <w:rsid w:val="00C260CB"/>
    <w:rsid w:val="00C268AC"/>
    <w:rsid w:val="00C3388C"/>
    <w:rsid w:val="00C351B4"/>
    <w:rsid w:val="00C42B16"/>
    <w:rsid w:val="00C43E95"/>
    <w:rsid w:val="00C4471E"/>
    <w:rsid w:val="00C46BDD"/>
    <w:rsid w:val="00C53F66"/>
    <w:rsid w:val="00C57B15"/>
    <w:rsid w:val="00C611C5"/>
    <w:rsid w:val="00C63A47"/>
    <w:rsid w:val="00C65B31"/>
    <w:rsid w:val="00C70B08"/>
    <w:rsid w:val="00C72804"/>
    <w:rsid w:val="00C73193"/>
    <w:rsid w:val="00C75499"/>
    <w:rsid w:val="00C76AD2"/>
    <w:rsid w:val="00C83F29"/>
    <w:rsid w:val="00C851BE"/>
    <w:rsid w:val="00C86B12"/>
    <w:rsid w:val="00C87576"/>
    <w:rsid w:val="00C93E2C"/>
    <w:rsid w:val="00C944F0"/>
    <w:rsid w:val="00C95D1D"/>
    <w:rsid w:val="00CA6764"/>
    <w:rsid w:val="00CA7FF1"/>
    <w:rsid w:val="00CB3090"/>
    <w:rsid w:val="00CB5942"/>
    <w:rsid w:val="00CB79B7"/>
    <w:rsid w:val="00CC4597"/>
    <w:rsid w:val="00CC5BE9"/>
    <w:rsid w:val="00CC76FA"/>
    <w:rsid w:val="00CD0241"/>
    <w:rsid w:val="00CD0380"/>
    <w:rsid w:val="00CD25B6"/>
    <w:rsid w:val="00CD6379"/>
    <w:rsid w:val="00CE1794"/>
    <w:rsid w:val="00CE6C3D"/>
    <w:rsid w:val="00CF2B87"/>
    <w:rsid w:val="00CF3631"/>
    <w:rsid w:val="00D00292"/>
    <w:rsid w:val="00D22F7D"/>
    <w:rsid w:val="00D27657"/>
    <w:rsid w:val="00D31266"/>
    <w:rsid w:val="00D31654"/>
    <w:rsid w:val="00D3350D"/>
    <w:rsid w:val="00D3461D"/>
    <w:rsid w:val="00D358CC"/>
    <w:rsid w:val="00D35CAD"/>
    <w:rsid w:val="00D42636"/>
    <w:rsid w:val="00D4619B"/>
    <w:rsid w:val="00D461DF"/>
    <w:rsid w:val="00D53C20"/>
    <w:rsid w:val="00D630BD"/>
    <w:rsid w:val="00D66FB5"/>
    <w:rsid w:val="00D72845"/>
    <w:rsid w:val="00D7464D"/>
    <w:rsid w:val="00D77FDB"/>
    <w:rsid w:val="00D824BA"/>
    <w:rsid w:val="00D834A2"/>
    <w:rsid w:val="00D83853"/>
    <w:rsid w:val="00D91962"/>
    <w:rsid w:val="00D9594C"/>
    <w:rsid w:val="00D962CF"/>
    <w:rsid w:val="00DA24E6"/>
    <w:rsid w:val="00DA3F5C"/>
    <w:rsid w:val="00DB49C5"/>
    <w:rsid w:val="00DB7D30"/>
    <w:rsid w:val="00DC2018"/>
    <w:rsid w:val="00DC270E"/>
    <w:rsid w:val="00DC4872"/>
    <w:rsid w:val="00DC57CF"/>
    <w:rsid w:val="00DC5A3D"/>
    <w:rsid w:val="00DD7EE5"/>
    <w:rsid w:val="00DE5268"/>
    <w:rsid w:val="00DE5AD2"/>
    <w:rsid w:val="00DE6202"/>
    <w:rsid w:val="00DF03E8"/>
    <w:rsid w:val="00DF1D5B"/>
    <w:rsid w:val="00DF45D8"/>
    <w:rsid w:val="00DF4B55"/>
    <w:rsid w:val="00DF63D3"/>
    <w:rsid w:val="00E05B11"/>
    <w:rsid w:val="00E0624C"/>
    <w:rsid w:val="00E10A6A"/>
    <w:rsid w:val="00E1447D"/>
    <w:rsid w:val="00E20BAF"/>
    <w:rsid w:val="00E22F0C"/>
    <w:rsid w:val="00E24E63"/>
    <w:rsid w:val="00E30241"/>
    <w:rsid w:val="00E3340A"/>
    <w:rsid w:val="00E34AD9"/>
    <w:rsid w:val="00E3586D"/>
    <w:rsid w:val="00E36032"/>
    <w:rsid w:val="00E37D68"/>
    <w:rsid w:val="00E433FB"/>
    <w:rsid w:val="00E43E12"/>
    <w:rsid w:val="00E44F5F"/>
    <w:rsid w:val="00E51ECA"/>
    <w:rsid w:val="00E54623"/>
    <w:rsid w:val="00E5689C"/>
    <w:rsid w:val="00E60481"/>
    <w:rsid w:val="00E60651"/>
    <w:rsid w:val="00E63505"/>
    <w:rsid w:val="00E646A1"/>
    <w:rsid w:val="00E650A6"/>
    <w:rsid w:val="00E74BB3"/>
    <w:rsid w:val="00E75C8D"/>
    <w:rsid w:val="00E81829"/>
    <w:rsid w:val="00E81FC6"/>
    <w:rsid w:val="00E92B70"/>
    <w:rsid w:val="00E92E34"/>
    <w:rsid w:val="00EA149C"/>
    <w:rsid w:val="00EA3A6D"/>
    <w:rsid w:val="00EB3C2F"/>
    <w:rsid w:val="00EB41C9"/>
    <w:rsid w:val="00EB5BD3"/>
    <w:rsid w:val="00EB5D02"/>
    <w:rsid w:val="00EB7542"/>
    <w:rsid w:val="00EB7C69"/>
    <w:rsid w:val="00EC47FC"/>
    <w:rsid w:val="00ED094E"/>
    <w:rsid w:val="00ED358D"/>
    <w:rsid w:val="00ED6F61"/>
    <w:rsid w:val="00EE24F9"/>
    <w:rsid w:val="00EE3ECD"/>
    <w:rsid w:val="00EE7970"/>
    <w:rsid w:val="00EF291A"/>
    <w:rsid w:val="00EF30FB"/>
    <w:rsid w:val="00EF70E0"/>
    <w:rsid w:val="00F03EF8"/>
    <w:rsid w:val="00F04EF4"/>
    <w:rsid w:val="00F056D6"/>
    <w:rsid w:val="00F1152D"/>
    <w:rsid w:val="00F13E67"/>
    <w:rsid w:val="00F16DFE"/>
    <w:rsid w:val="00F1734F"/>
    <w:rsid w:val="00F17717"/>
    <w:rsid w:val="00F17EB4"/>
    <w:rsid w:val="00F342EC"/>
    <w:rsid w:val="00F35673"/>
    <w:rsid w:val="00F36892"/>
    <w:rsid w:val="00F4097B"/>
    <w:rsid w:val="00F40B11"/>
    <w:rsid w:val="00F47575"/>
    <w:rsid w:val="00F5027C"/>
    <w:rsid w:val="00F538CB"/>
    <w:rsid w:val="00F570F7"/>
    <w:rsid w:val="00F615CB"/>
    <w:rsid w:val="00F65560"/>
    <w:rsid w:val="00F70501"/>
    <w:rsid w:val="00F75EC5"/>
    <w:rsid w:val="00F77481"/>
    <w:rsid w:val="00F92DF3"/>
    <w:rsid w:val="00F9474A"/>
    <w:rsid w:val="00F95BF5"/>
    <w:rsid w:val="00FB466B"/>
    <w:rsid w:val="00FB7650"/>
    <w:rsid w:val="00FD10EE"/>
    <w:rsid w:val="00FD1486"/>
    <w:rsid w:val="00FD2D81"/>
    <w:rsid w:val="00FD53DB"/>
    <w:rsid w:val="00FE114D"/>
    <w:rsid w:val="00FE3766"/>
    <w:rsid w:val="00FE508A"/>
    <w:rsid w:val="00FE5E7B"/>
    <w:rsid w:val="00FF0277"/>
    <w:rsid w:val="00FF07AE"/>
    <w:rsid w:val="00FF29F8"/>
    <w:rsid w:val="00FF3F28"/>
    <w:rsid w:val="00FF6B6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F7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C97"/>
    <w:rPr>
      <w:rFonts w:eastAsia="Times New Roman" w:cs="Times New Roman"/>
      <w:szCs w:val="24"/>
      <w:lang w:val="en-US"/>
    </w:rPr>
  </w:style>
  <w:style w:type="paragraph" w:styleId="Heading1">
    <w:name w:val="heading 1"/>
    <w:basedOn w:val="Normal"/>
    <w:next w:val="Normal"/>
    <w:link w:val="Heading1Char"/>
    <w:uiPriority w:val="9"/>
    <w:qFormat/>
    <w:rsid w:val="000873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31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44C97"/>
    <w:pPr>
      <w:keepNext/>
      <w:spacing w:line="480" w:lineRule="auto"/>
      <w:outlineLvl w:val="2"/>
    </w:pPr>
    <w:rPr>
      <w:i/>
      <w:iCs/>
      <w:lang w:val="en-CA"/>
    </w:rPr>
  </w:style>
  <w:style w:type="paragraph" w:styleId="Heading4">
    <w:name w:val="heading 4"/>
    <w:basedOn w:val="Normal"/>
    <w:next w:val="Normal"/>
    <w:link w:val="Heading4Char"/>
    <w:qFormat/>
    <w:rsid w:val="00544C97"/>
    <w:pPr>
      <w:keepNext/>
      <w:jc w:val="center"/>
      <w:outlineLvl w:val="3"/>
    </w:pPr>
    <w:rPr>
      <w:b/>
      <w:bCs/>
    </w:rPr>
  </w:style>
  <w:style w:type="paragraph" w:styleId="Heading5">
    <w:name w:val="heading 5"/>
    <w:basedOn w:val="Normal"/>
    <w:next w:val="Normal"/>
    <w:link w:val="Heading5Char"/>
    <w:uiPriority w:val="9"/>
    <w:unhideWhenUsed/>
    <w:qFormat/>
    <w:rsid w:val="007213F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05BD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4C97"/>
    <w:rPr>
      <w:rFonts w:eastAsia="Times New Roman" w:cs="Times New Roman"/>
      <w:i/>
      <w:iCs/>
      <w:szCs w:val="24"/>
    </w:rPr>
  </w:style>
  <w:style w:type="character" w:customStyle="1" w:styleId="Heading4Char">
    <w:name w:val="Heading 4 Char"/>
    <w:basedOn w:val="DefaultParagraphFont"/>
    <w:link w:val="Heading4"/>
    <w:rsid w:val="00544C97"/>
    <w:rPr>
      <w:rFonts w:eastAsia="Times New Roman" w:cs="Times New Roman"/>
      <w:b/>
      <w:bCs/>
      <w:szCs w:val="24"/>
      <w:lang w:val="en-US"/>
    </w:rPr>
  </w:style>
  <w:style w:type="paragraph" w:styleId="Header">
    <w:name w:val="header"/>
    <w:basedOn w:val="Normal"/>
    <w:link w:val="HeaderChar"/>
    <w:uiPriority w:val="99"/>
    <w:rsid w:val="00544C97"/>
    <w:pPr>
      <w:tabs>
        <w:tab w:val="center" w:pos="4320"/>
        <w:tab w:val="right" w:pos="8640"/>
      </w:tabs>
    </w:pPr>
    <w:rPr>
      <w:lang w:val="en-CA"/>
    </w:rPr>
  </w:style>
  <w:style w:type="character" w:customStyle="1" w:styleId="HeaderChar">
    <w:name w:val="Header Char"/>
    <w:basedOn w:val="DefaultParagraphFont"/>
    <w:link w:val="Header"/>
    <w:uiPriority w:val="99"/>
    <w:rsid w:val="00544C97"/>
    <w:rPr>
      <w:rFonts w:eastAsia="Times New Roman" w:cs="Times New Roman"/>
      <w:szCs w:val="24"/>
    </w:rPr>
  </w:style>
  <w:style w:type="paragraph" w:styleId="BodyTextIndent">
    <w:name w:val="Body Text Indent"/>
    <w:basedOn w:val="Normal"/>
    <w:link w:val="BodyTextIndentChar"/>
    <w:semiHidden/>
    <w:rsid w:val="00544C97"/>
    <w:pPr>
      <w:spacing w:line="480" w:lineRule="auto"/>
      <w:ind w:firstLine="720"/>
    </w:pPr>
    <w:rPr>
      <w:lang w:val="en-CA"/>
    </w:rPr>
  </w:style>
  <w:style w:type="character" w:customStyle="1" w:styleId="BodyTextIndentChar">
    <w:name w:val="Body Text Indent Char"/>
    <w:basedOn w:val="DefaultParagraphFont"/>
    <w:link w:val="BodyTextIndent"/>
    <w:semiHidden/>
    <w:rsid w:val="00544C97"/>
    <w:rPr>
      <w:rFonts w:eastAsia="Times New Roman" w:cs="Times New Roman"/>
      <w:szCs w:val="24"/>
    </w:rPr>
  </w:style>
  <w:style w:type="character" w:styleId="CommentReference">
    <w:name w:val="annotation reference"/>
    <w:basedOn w:val="DefaultParagraphFont"/>
    <w:uiPriority w:val="99"/>
    <w:semiHidden/>
    <w:unhideWhenUsed/>
    <w:rsid w:val="00544C97"/>
    <w:rPr>
      <w:sz w:val="16"/>
      <w:szCs w:val="16"/>
    </w:rPr>
  </w:style>
  <w:style w:type="paragraph" w:styleId="CommentText">
    <w:name w:val="annotation text"/>
    <w:basedOn w:val="Normal"/>
    <w:link w:val="CommentTextChar"/>
    <w:uiPriority w:val="99"/>
    <w:unhideWhenUsed/>
    <w:rsid w:val="00544C97"/>
    <w:rPr>
      <w:sz w:val="20"/>
      <w:szCs w:val="20"/>
    </w:rPr>
  </w:style>
  <w:style w:type="character" w:customStyle="1" w:styleId="CommentTextChar">
    <w:name w:val="Comment Text Char"/>
    <w:basedOn w:val="DefaultParagraphFont"/>
    <w:link w:val="CommentText"/>
    <w:uiPriority w:val="99"/>
    <w:rsid w:val="00544C97"/>
    <w:rPr>
      <w:rFonts w:eastAsia="Times New Roman" w:cs="Times New Roman"/>
      <w:sz w:val="20"/>
      <w:szCs w:val="20"/>
      <w:lang w:val="en-US"/>
    </w:rPr>
  </w:style>
  <w:style w:type="paragraph" w:styleId="BalloonText">
    <w:name w:val="Balloon Text"/>
    <w:basedOn w:val="Normal"/>
    <w:link w:val="BalloonTextChar"/>
    <w:uiPriority w:val="99"/>
    <w:semiHidden/>
    <w:unhideWhenUsed/>
    <w:rsid w:val="00544C97"/>
    <w:rPr>
      <w:rFonts w:ascii="Tahoma" w:hAnsi="Tahoma" w:cs="Tahoma"/>
      <w:sz w:val="16"/>
      <w:szCs w:val="16"/>
    </w:rPr>
  </w:style>
  <w:style w:type="character" w:customStyle="1" w:styleId="BalloonTextChar">
    <w:name w:val="Balloon Text Char"/>
    <w:basedOn w:val="DefaultParagraphFont"/>
    <w:link w:val="BalloonText"/>
    <w:uiPriority w:val="99"/>
    <w:semiHidden/>
    <w:rsid w:val="00544C97"/>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087340"/>
    <w:rPr>
      <w:rFonts w:asciiTheme="majorHAnsi" w:eastAsiaTheme="majorEastAsia" w:hAnsiTheme="majorHAnsi" w:cstheme="majorBidi"/>
      <w:b/>
      <w:bCs/>
      <w:color w:val="365F91" w:themeColor="accent1" w:themeShade="BF"/>
      <w:sz w:val="28"/>
      <w:szCs w:val="28"/>
      <w:lang w:val="en-US"/>
    </w:rPr>
  </w:style>
  <w:style w:type="paragraph" w:styleId="BodyTextIndent3">
    <w:name w:val="Body Text Indent 3"/>
    <w:basedOn w:val="Normal"/>
    <w:link w:val="BodyTextIndent3Char"/>
    <w:uiPriority w:val="99"/>
    <w:semiHidden/>
    <w:unhideWhenUsed/>
    <w:rsid w:val="0008734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87340"/>
    <w:rPr>
      <w:rFonts w:eastAsia="Times New Roman" w:cs="Times New Roman"/>
      <w:sz w:val="16"/>
      <w:szCs w:val="16"/>
      <w:lang w:val="en-US"/>
    </w:rPr>
  </w:style>
  <w:style w:type="character" w:customStyle="1" w:styleId="Heading5Char">
    <w:name w:val="Heading 5 Char"/>
    <w:basedOn w:val="DefaultParagraphFont"/>
    <w:link w:val="Heading5"/>
    <w:uiPriority w:val="9"/>
    <w:rsid w:val="007213F8"/>
    <w:rPr>
      <w:rFonts w:asciiTheme="majorHAnsi" w:eastAsiaTheme="majorEastAsia" w:hAnsiTheme="majorHAnsi" w:cstheme="majorBidi"/>
      <w:color w:val="243F60" w:themeColor="accent1" w:themeShade="7F"/>
      <w:szCs w:val="24"/>
      <w:lang w:val="en-US"/>
    </w:rPr>
  </w:style>
  <w:style w:type="character" w:customStyle="1" w:styleId="Heading7Char">
    <w:name w:val="Heading 7 Char"/>
    <w:basedOn w:val="DefaultParagraphFont"/>
    <w:link w:val="Heading7"/>
    <w:uiPriority w:val="9"/>
    <w:rsid w:val="00305BDB"/>
    <w:rPr>
      <w:rFonts w:asciiTheme="majorHAnsi" w:eastAsiaTheme="majorEastAsia" w:hAnsiTheme="majorHAnsi" w:cstheme="majorBidi"/>
      <w:i/>
      <w:iCs/>
      <w:color w:val="404040" w:themeColor="text1" w:themeTint="BF"/>
      <w:szCs w:val="24"/>
      <w:lang w:val="en-US"/>
    </w:rPr>
  </w:style>
  <w:style w:type="paragraph" w:styleId="BodyText2">
    <w:name w:val="Body Text 2"/>
    <w:basedOn w:val="Normal"/>
    <w:link w:val="BodyText2Char"/>
    <w:uiPriority w:val="99"/>
    <w:semiHidden/>
    <w:unhideWhenUsed/>
    <w:rsid w:val="00305BDB"/>
    <w:pPr>
      <w:spacing w:after="120" w:line="480" w:lineRule="auto"/>
    </w:pPr>
  </w:style>
  <w:style w:type="character" w:customStyle="1" w:styleId="BodyText2Char">
    <w:name w:val="Body Text 2 Char"/>
    <w:basedOn w:val="DefaultParagraphFont"/>
    <w:link w:val="BodyText2"/>
    <w:uiPriority w:val="99"/>
    <w:semiHidden/>
    <w:rsid w:val="00305BDB"/>
    <w:rPr>
      <w:rFonts w:eastAsia="Times New Roman" w:cs="Times New Roman"/>
      <w:szCs w:val="24"/>
      <w:lang w:val="en-US"/>
    </w:rPr>
  </w:style>
  <w:style w:type="paragraph" w:styleId="Footer">
    <w:name w:val="footer"/>
    <w:basedOn w:val="Normal"/>
    <w:link w:val="FooterChar"/>
    <w:semiHidden/>
    <w:rsid w:val="00866C9C"/>
    <w:pPr>
      <w:tabs>
        <w:tab w:val="center" w:pos="4320"/>
        <w:tab w:val="right" w:pos="8640"/>
      </w:tabs>
    </w:pPr>
  </w:style>
  <w:style w:type="character" w:customStyle="1" w:styleId="FooterChar">
    <w:name w:val="Footer Char"/>
    <w:basedOn w:val="DefaultParagraphFont"/>
    <w:link w:val="Footer"/>
    <w:semiHidden/>
    <w:rsid w:val="00866C9C"/>
    <w:rPr>
      <w:rFonts w:eastAsia="Times New Roman" w:cs="Times New Roman"/>
      <w:szCs w:val="24"/>
      <w:lang w:val="en-US"/>
    </w:rPr>
  </w:style>
  <w:style w:type="character" w:customStyle="1" w:styleId="Heading2Char">
    <w:name w:val="Heading 2 Char"/>
    <w:basedOn w:val="DefaultParagraphFont"/>
    <w:link w:val="Heading2"/>
    <w:uiPriority w:val="9"/>
    <w:rsid w:val="00C73193"/>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iPriority w:val="99"/>
    <w:semiHidden/>
    <w:unhideWhenUsed/>
    <w:rsid w:val="00947794"/>
    <w:pPr>
      <w:spacing w:after="120"/>
    </w:pPr>
  </w:style>
  <w:style w:type="character" w:customStyle="1" w:styleId="BodyTextChar">
    <w:name w:val="Body Text Char"/>
    <w:basedOn w:val="DefaultParagraphFont"/>
    <w:link w:val="BodyText"/>
    <w:uiPriority w:val="99"/>
    <w:semiHidden/>
    <w:rsid w:val="00947794"/>
    <w:rPr>
      <w:rFonts w:eastAsia="Times New Roman" w:cs="Times New Roman"/>
      <w:szCs w:val="24"/>
      <w:lang w:val="en-US"/>
    </w:rPr>
  </w:style>
  <w:style w:type="paragraph" w:styleId="BodyTextIndent2">
    <w:name w:val="Body Text Indent 2"/>
    <w:basedOn w:val="Normal"/>
    <w:link w:val="BodyTextIndent2Char"/>
    <w:uiPriority w:val="99"/>
    <w:semiHidden/>
    <w:unhideWhenUsed/>
    <w:rsid w:val="00947794"/>
    <w:pPr>
      <w:spacing w:after="120" w:line="480" w:lineRule="auto"/>
      <w:ind w:left="283"/>
    </w:pPr>
  </w:style>
  <w:style w:type="character" w:customStyle="1" w:styleId="BodyTextIndent2Char">
    <w:name w:val="Body Text Indent 2 Char"/>
    <w:basedOn w:val="DefaultParagraphFont"/>
    <w:link w:val="BodyTextIndent2"/>
    <w:uiPriority w:val="99"/>
    <w:semiHidden/>
    <w:rsid w:val="00947794"/>
    <w:rPr>
      <w:rFonts w:eastAsia="Times New Roman" w:cs="Times New Roman"/>
      <w:szCs w:val="24"/>
      <w:lang w:val="en-US"/>
    </w:rPr>
  </w:style>
  <w:style w:type="character" w:customStyle="1" w:styleId="bibrecord-highlight1">
    <w:name w:val="bibrecord-highlight1"/>
    <w:basedOn w:val="DefaultParagraphFont"/>
    <w:rsid w:val="00947794"/>
    <w:rPr>
      <w:b/>
      <w:bCs/>
      <w:color w:val="CC0000"/>
    </w:rPr>
  </w:style>
  <w:style w:type="character" w:customStyle="1" w:styleId="titles-title1">
    <w:name w:val="titles-title1"/>
    <w:basedOn w:val="DefaultParagraphFont"/>
    <w:rsid w:val="00947794"/>
    <w:rPr>
      <w:b/>
      <w:bCs/>
    </w:rPr>
  </w:style>
  <w:style w:type="character" w:customStyle="1" w:styleId="titles-source1">
    <w:name w:val="titles-source1"/>
    <w:basedOn w:val="DefaultParagraphFont"/>
    <w:rsid w:val="00947794"/>
    <w:rPr>
      <w:i/>
      <w:iCs/>
    </w:rPr>
  </w:style>
  <w:style w:type="character" w:styleId="Hyperlink">
    <w:name w:val="Hyperlink"/>
    <w:basedOn w:val="DefaultParagraphFont"/>
    <w:semiHidden/>
    <w:rsid w:val="00947794"/>
    <w:rPr>
      <w:color w:val="0000FF"/>
      <w:u w:val="single"/>
    </w:rPr>
  </w:style>
  <w:style w:type="character" w:customStyle="1" w:styleId="text">
    <w:name w:val="text"/>
    <w:basedOn w:val="DefaultParagraphFont"/>
    <w:rsid w:val="00947794"/>
  </w:style>
  <w:style w:type="character" w:styleId="Strong">
    <w:name w:val="Strong"/>
    <w:basedOn w:val="DefaultParagraphFont"/>
    <w:uiPriority w:val="22"/>
    <w:qFormat/>
    <w:rsid w:val="00947794"/>
    <w:rPr>
      <w:b/>
      <w:bCs/>
    </w:rPr>
  </w:style>
  <w:style w:type="character" w:styleId="Emphasis">
    <w:name w:val="Emphasis"/>
    <w:basedOn w:val="DefaultParagraphFont"/>
    <w:qFormat/>
    <w:rsid w:val="00947794"/>
    <w:rPr>
      <w:i/>
      <w:iCs/>
    </w:rPr>
  </w:style>
  <w:style w:type="paragraph" w:styleId="CommentSubject">
    <w:name w:val="annotation subject"/>
    <w:basedOn w:val="CommentText"/>
    <w:next w:val="CommentText"/>
    <w:link w:val="CommentSubjectChar"/>
    <w:uiPriority w:val="99"/>
    <w:semiHidden/>
    <w:unhideWhenUsed/>
    <w:rsid w:val="007F0B2E"/>
    <w:rPr>
      <w:b/>
      <w:bCs/>
    </w:rPr>
  </w:style>
  <w:style w:type="character" w:customStyle="1" w:styleId="CommentSubjectChar">
    <w:name w:val="Comment Subject Char"/>
    <w:basedOn w:val="CommentTextChar"/>
    <w:link w:val="CommentSubject"/>
    <w:uiPriority w:val="99"/>
    <w:semiHidden/>
    <w:rsid w:val="007F0B2E"/>
    <w:rPr>
      <w:rFonts w:eastAsia="Times New Roman" w:cs="Times New Roman"/>
      <w:b/>
      <w:bCs/>
      <w:sz w:val="20"/>
      <w:szCs w:val="20"/>
      <w:lang w:val="en-US"/>
    </w:rPr>
  </w:style>
  <w:style w:type="paragraph" w:styleId="Revision">
    <w:name w:val="Revision"/>
    <w:hidden/>
    <w:uiPriority w:val="99"/>
    <w:semiHidden/>
    <w:rsid w:val="00A039E0"/>
    <w:rPr>
      <w:rFonts w:eastAsia="Times New Roman" w:cs="Times New Roman"/>
      <w:szCs w:val="24"/>
      <w:lang w:val="en-US"/>
    </w:rPr>
  </w:style>
  <w:style w:type="paragraph" w:styleId="ListParagraph">
    <w:name w:val="List Paragraph"/>
    <w:basedOn w:val="Normal"/>
    <w:uiPriority w:val="34"/>
    <w:qFormat/>
    <w:rsid w:val="00616085"/>
    <w:pPr>
      <w:ind w:left="720"/>
      <w:contextualSpacing/>
    </w:pPr>
  </w:style>
  <w:style w:type="character" w:customStyle="1" w:styleId="apple-converted-space">
    <w:name w:val="apple-converted-space"/>
    <w:basedOn w:val="DefaultParagraphFont"/>
    <w:rsid w:val="00E63505"/>
  </w:style>
  <w:style w:type="character" w:customStyle="1" w:styleId="bibrecord-highlight-user">
    <w:name w:val="bibrecord-highlight-user"/>
    <w:basedOn w:val="DefaultParagraphFont"/>
    <w:rsid w:val="00E63505"/>
  </w:style>
  <w:style w:type="table" w:styleId="LightShading-Accent1">
    <w:name w:val="Light Shading Accent 1"/>
    <w:basedOn w:val="TableNormal"/>
    <w:uiPriority w:val="60"/>
    <w:rsid w:val="000258F6"/>
    <w:rPr>
      <w:rFonts w:asciiTheme="minorHAnsi" w:eastAsiaTheme="minorEastAsia" w:hAnsiTheme="minorHAnsi"/>
      <w:color w:val="365F91" w:themeColor="accent1" w:themeShade="BF"/>
      <w:sz w:val="22"/>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unhideWhenUsed/>
    <w:rsid w:val="000258F6"/>
  </w:style>
  <w:style w:type="character" w:customStyle="1" w:styleId="FootnoteTextChar">
    <w:name w:val="Footnote Text Char"/>
    <w:basedOn w:val="DefaultParagraphFont"/>
    <w:link w:val="FootnoteText"/>
    <w:uiPriority w:val="99"/>
    <w:rsid w:val="000258F6"/>
    <w:rPr>
      <w:rFonts w:eastAsia="Times New Roman" w:cs="Times New Roman"/>
      <w:szCs w:val="24"/>
      <w:lang w:val="en-US"/>
    </w:rPr>
  </w:style>
  <w:style w:type="character" w:styleId="FootnoteReference">
    <w:name w:val="footnote reference"/>
    <w:basedOn w:val="DefaultParagraphFont"/>
    <w:uiPriority w:val="99"/>
    <w:unhideWhenUsed/>
    <w:rsid w:val="000258F6"/>
    <w:rPr>
      <w:vertAlign w:val="superscript"/>
    </w:rPr>
  </w:style>
  <w:style w:type="character" w:customStyle="1" w:styleId="a">
    <w:name w:val="a"/>
    <w:basedOn w:val="DefaultParagraphFont"/>
    <w:rsid w:val="00C65B31"/>
  </w:style>
  <w:style w:type="character" w:customStyle="1" w:styleId="pp-place-title">
    <w:name w:val="pp-place-title"/>
    <w:basedOn w:val="DefaultParagraphFont"/>
    <w:rsid w:val="004172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C97"/>
    <w:rPr>
      <w:rFonts w:eastAsia="Times New Roman" w:cs="Times New Roman"/>
      <w:szCs w:val="24"/>
      <w:lang w:val="en-US"/>
    </w:rPr>
  </w:style>
  <w:style w:type="paragraph" w:styleId="Heading1">
    <w:name w:val="heading 1"/>
    <w:basedOn w:val="Normal"/>
    <w:next w:val="Normal"/>
    <w:link w:val="Heading1Char"/>
    <w:uiPriority w:val="9"/>
    <w:qFormat/>
    <w:rsid w:val="000873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31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44C97"/>
    <w:pPr>
      <w:keepNext/>
      <w:spacing w:line="480" w:lineRule="auto"/>
      <w:outlineLvl w:val="2"/>
    </w:pPr>
    <w:rPr>
      <w:i/>
      <w:iCs/>
      <w:lang w:val="en-CA"/>
    </w:rPr>
  </w:style>
  <w:style w:type="paragraph" w:styleId="Heading4">
    <w:name w:val="heading 4"/>
    <w:basedOn w:val="Normal"/>
    <w:next w:val="Normal"/>
    <w:link w:val="Heading4Char"/>
    <w:qFormat/>
    <w:rsid w:val="00544C97"/>
    <w:pPr>
      <w:keepNext/>
      <w:jc w:val="center"/>
      <w:outlineLvl w:val="3"/>
    </w:pPr>
    <w:rPr>
      <w:b/>
      <w:bCs/>
    </w:rPr>
  </w:style>
  <w:style w:type="paragraph" w:styleId="Heading5">
    <w:name w:val="heading 5"/>
    <w:basedOn w:val="Normal"/>
    <w:next w:val="Normal"/>
    <w:link w:val="Heading5Char"/>
    <w:uiPriority w:val="9"/>
    <w:unhideWhenUsed/>
    <w:qFormat/>
    <w:rsid w:val="007213F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05BD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4C97"/>
    <w:rPr>
      <w:rFonts w:eastAsia="Times New Roman" w:cs="Times New Roman"/>
      <w:i/>
      <w:iCs/>
      <w:szCs w:val="24"/>
    </w:rPr>
  </w:style>
  <w:style w:type="character" w:customStyle="1" w:styleId="Heading4Char">
    <w:name w:val="Heading 4 Char"/>
    <w:basedOn w:val="DefaultParagraphFont"/>
    <w:link w:val="Heading4"/>
    <w:rsid w:val="00544C97"/>
    <w:rPr>
      <w:rFonts w:eastAsia="Times New Roman" w:cs="Times New Roman"/>
      <w:b/>
      <w:bCs/>
      <w:szCs w:val="24"/>
      <w:lang w:val="en-US"/>
    </w:rPr>
  </w:style>
  <w:style w:type="paragraph" w:styleId="Header">
    <w:name w:val="header"/>
    <w:basedOn w:val="Normal"/>
    <w:link w:val="HeaderChar"/>
    <w:uiPriority w:val="99"/>
    <w:rsid w:val="00544C97"/>
    <w:pPr>
      <w:tabs>
        <w:tab w:val="center" w:pos="4320"/>
        <w:tab w:val="right" w:pos="8640"/>
      </w:tabs>
    </w:pPr>
    <w:rPr>
      <w:lang w:val="en-CA"/>
    </w:rPr>
  </w:style>
  <w:style w:type="character" w:customStyle="1" w:styleId="HeaderChar">
    <w:name w:val="Header Char"/>
    <w:basedOn w:val="DefaultParagraphFont"/>
    <w:link w:val="Header"/>
    <w:uiPriority w:val="99"/>
    <w:rsid w:val="00544C97"/>
    <w:rPr>
      <w:rFonts w:eastAsia="Times New Roman" w:cs="Times New Roman"/>
      <w:szCs w:val="24"/>
    </w:rPr>
  </w:style>
  <w:style w:type="paragraph" w:styleId="BodyTextIndent">
    <w:name w:val="Body Text Indent"/>
    <w:basedOn w:val="Normal"/>
    <w:link w:val="BodyTextIndentChar"/>
    <w:semiHidden/>
    <w:rsid w:val="00544C97"/>
    <w:pPr>
      <w:spacing w:line="480" w:lineRule="auto"/>
      <w:ind w:firstLine="720"/>
    </w:pPr>
    <w:rPr>
      <w:lang w:val="en-CA"/>
    </w:rPr>
  </w:style>
  <w:style w:type="character" w:customStyle="1" w:styleId="BodyTextIndentChar">
    <w:name w:val="Body Text Indent Char"/>
    <w:basedOn w:val="DefaultParagraphFont"/>
    <w:link w:val="BodyTextIndent"/>
    <w:semiHidden/>
    <w:rsid w:val="00544C97"/>
    <w:rPr>
      <w:rFonts w:eastAsia="Times New Roman" w:cs="Times New Roman"/>
      <w:szCs w:val="24"/>
    </w:rPr>
  </w:style>
  <w:style w:type="character" w:styleId="CommentReference">
    <w:name w:val="annotation reference"/>
    <w:basedOn w:val="DefaultParagraphFont"/>
    <w:uiPriority w:val="99"/>
    <w:semiHidden/>
    <w:unhideWhenUsed/>
    <w:rsid w:val="00544C97"/>
    <w:rPr>
      <w:sz w:val="16"/>
      <w:szCs w:val="16"/>
    </w:rPr>
  </w:style>
  <w:style w:type="paragraph" w:styleId="CommentText">
    <w:name w:val="annotation text"/>
    <w:basedOn w:val="Normal"/>
    <w:link w:val="CommentTextChar"/>
    <w:uiPriority w:val="99"/>
    <w:unhideWhenUsed/>
    <w:rsid w:val="00544C97"/>
    <w:rPr>
      <w:sz w:val="20"/>
      <w:szCs w:val="20"/>
    </w:rPr>
  </w:style>
  <w:style w:type="character" w:customStyle="1" w:styleId="CommentTextChar">
    <w:name w:val="Comment Text Char"/>
    <w:basedOn w:val="DefaultParagraphFont"/>
    <w:link w:val="CommentText"/>
    <w:uiPriority w:val="99"/>
    <w:rsid w:val="00544C97"/>
    <w:rPr>
      <w:rFonts w:eastAsia="Times New Roman" w:cs="Times New Roman"/>
      <w:sz w:val="20"/>
      <w:szCs w:val="20"/>
      <w:lang w:val="en-US"/>
    </w:rPr>
  </w:style>
  <w:style w:type="paragraph" w:styleId="BalloonText">
    <w:name w:val="Balloon Text"/>
    <w:basedOn w:val="Normal"/>
    <w:link w:val="BalloonTextChar"/>
    <w:uiPriority w:val="99"/>
    <w:semiHidden/>
    <w:unhideWhenUsed/>
    <w:rsid w:val="00544C97"/>
    <w:rPr>
      <w:rFonts w:ascii="Tahoma" w:hAnsi="Tahoma" w:cs="Tahoma"/>
      <w:sz w:val="16"/>
      <w:szCs w:val="16"/>
    </w:rPr>
  </w:style>
  <w:style w:type="character" w:customStyle="1" w:styleId="BalloonTextChar">
    <w:name w:val="Balloon Text Char"/>
    <w:basedOn w:val="DefaultParagraphFont"/>
    <w:link w:val="BalloonText"/>
    <w:uiPriority w:val="99"/>
    <w:semiHidden/>
    <w:rsid w:val="00544C97"/>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087340"/>
    <w:rPr>
      <w:rFonts w:asciiTheme="majorHAnsi" w:eastAsiaTheme="majorEastAsia" w:hAnsiTheme="majorHAnsi" w:cstheme="majorBidi"/>
      <w:b/>
      <w:bCs/>
      <w:color w:val="365F91" w:themeColor="accent1" w:themeShade="BF"/>
      <w:sz w:val="28"/>
      <w:szCs w:val="28"/>
      <w:lang w:val="en-US"/>
    </w:rPr>
  </w:style>
  <w:style w:type="paragraph" w:styleId="BodyTextIndent3">
    <w:name w:val="Body Text Indent 3"/>
    <w:basedOn w:val="Normal"/>
    <w:link w:val="BodyTextIndent3Char"/>
    <w:uiPriority w:val="99"/>
    <w:semiHidden/>
    <w:unhideWhenUsed/>
    <w:rsid w:val="0008734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87340"/>
    <w:rPr>
      <w:rFonts w:eastAsia="Times New Roman" w:cs="Times New Roman"/>
      <w:sz w:val="16"/>
      <w:szCs w:val="16"/>
      <w:lang w:val="en-US"/>
    </w:rPr>
  </w:style>
  <w:style w:type="character" w:customStyle="1" w:styleId="Heading5Char">
    <w:name w:val="Heading 5 Char"/>
    <w:basedOn w:val="DefaultParagraphFont"/>
    <w:link w:val="Heading5"/>
    <w:uiPriority w:val="9"/>
    <w:rsid w:val="007213F8"/>
    <w:rPr>
      <w:rFonts w:asciiTheme="majorHAnsi" w:eastAsiaTheme="majorEastAsia" w:hAnsiTheme="majorHAnsi" w:cstheme="majorBidi"/>
      <w:color w:val="243F60" w:themeColor="accent1" w:themeShade="7F"/>
      <w:szCs w:val="24"/>
      <w:lang w:val="en-US"/>
    </w:rPr>
  </w:style>
  <w:style w:type="character" w:customStyle="1" w:styleId="Heading7Char">
    <w:name w:val="Heading 7 Char"/>
    <w:basedOn w:val="DefaultParagraphFont"/>
    <w:link w:val="Heading7"/>
    <w:uiPriority w:val="9"/>
    <w:rsid w:val="00305BDB"/>
    <w:rPr>
      <w:rFonts w:asciiTheme="majorHAnsi" w:eastAsiaTheme="majorEastAsia" w:hAnsiTheme="majorHAnsi" w:cstheme="majorBidi"/>
      <w:i/>
      <w:iCs/>
      <w:color w:val="404040" w:themeColor="text1" w:themeTint="BF"/>
      <w:szCs w:val="24"/>
      <w:lang w:val="en-US"/>
    </w:rPr>
  </w:style>
  <w:style w:type="paragraph" w:styleId="BodyText2">
    <w:name w:val="Body Text 2"/>
    <w:basedOn w:val="Normal"/>
    <w:link w:val="BodyText2Char"/>
    <w:uiPriority w:val="99"/>
    <w:semiHidden/>
    <w:unhideWhenUsed/>
    <w:rsid w:val="00305BDB"/>
    <w:pPr>
      <w:spacing w:after="120" w:line="480" w:lineRule="auto"/>
    </w:pPr>
  </w:style>
  <w:style w:type="character" w:customStyle="1" w:styleId="BodyText2Char">
    <w:name w:val="Body Text 2 Char"/>
    <w:basedOn w:val="DefaultParagraphFont"/>
    <w:link w:val="BodyText2"/>
    <w:uiPriority w:val="99"/>
    <w:semiHidden/>
    <w:rsid w:val="00305BDB"/>
    <w:rPr>
      <w:rFonts w:eastAsia="Times New Roman" w:cs="Times New Roman"/>
      <w:szCs w:val="24"/>
      <w:lang w:val="en-US"/>
    </w:rPr>
  </w:style>
  <w:style w:type="paragraph" w:styleId="Footer">
    <w:name w:val="footer"/>
    <w:basedOn w:val="Normal"/>
    <w:link w:val="FooterChar"/>
    <w:semiHidden/>
    <w:rsid w:val="00866C9C"/>
    <w:pPr>
      <w:tabs>
        <w:tab w:val="center" w:pos="4320"/>
        <w:tab w:val="right" w:pos="8640"/>
      </w:tabs>
    </w:pPr>
  </w:style>
  <w:style w:type="character" w:customStyle="1" w:styleId="FooterChar">
    <w:name w:val="Footer Char"/>
    <w:basedOn w:val="DefaultParagraphFont"/>
    <w:link w:val="Footer"/>
    <w:semiHidden/>
    <w:rsid w:val="00866C9C"/>
    <w:rPr>
      <w:rFonts w:eastAsia="Times New Roman" w:cs="Times New Roman"/>
      <w:szCs w:val="24"/>
      <w:lang w:val="en-US"/>
    </w:rPr>
  </w:style>
  <w:style w:type="character" w:customStyle="1" w:styleId="Heading2Char">
    <w:name w:val="Heading 2 Char"/>
    <w:basedOn w:val="DefaultParagraphFont"/>
    <w:link w:val="Heading2"/>
    <w:uiPriority w:val="9"/>
    <w:rsid w:val="00C73193"/>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iPriority w:val="99"/>
    <w:semiHidden/>
    <w:unhideWhenUsed/>
    <w:rsid w:val="00947794"/>
    <w:pPr>
      <w:spacing w:after="120"/>
    </w:pPr>
  </w:style>
  <w:style w:type="character" w:customStyle="1" w:styleId="BodyTextChar">
    <w:name w:val="Body Text Char"/>
    <w:basedOn w:val="DefaultParagraphFont"/>
    <w:link w:val="BodyText"/>
    <w:uiPriority w:val="99"/>
    <w:semiHidden/>
    <w:rsid w:val="00947794"/>
    <w:rPr>
      <w:rFonts w:eastAsia="Times New Roman" w:cs="Times New Roman"/>
      <w:szCs w:val="24"/>
      <w:lang w:val="en-US"/>
    </w:rPr>
  </w:style>
  <w:style w:type="paragraph" w:styleId="BodyTextIndent2">
    <w:name w:val="Body Text Indent 2"/>
    <w:basedOn w:val="Normal"/>
    <w:link w:val="BodyTextIndent2Char"/>
    <w:uiPriority w:val="99"/>
    <w:semiHidden/>
    <w:unhideWhenUsed/>
    <w:rsid w:val="00947794"/>
    <w:pPr>
      <w:spacing w:after="120" w:line="480" w:lineRule="auto"/>
      <w:ind w:left="283"/>
    </w:pPr>
  </w:style>
  <w:style w:type="character" w:customStyle="1" w:styleId="BodyTextIndent2Char">
    <w:name w:val="Body Text Indent 2 Char"/>
    <w:basedOn w:val="DefaultParagraphFont"/>
    <w:link w:val="BodyTextIndent2"/>
    <w:uiPriority w:val="99"/>
    <w:semiHidden/>
    <w:rsid w:val="00947794"/>
    <w:rPr>
      <w:rFonts w:eastAsia="Times New Roman" w:cs="Times New Roman"/>
      <w:szCs w:val="24"/>
      <w:lang w:val="en-US"/>
    </w:rPr>
  </w:style>
  <w:style w:type="character" w:customStyle="1" w:styleId="bibrecord-highlight1">
    <w:name w:val="bibrecord-highlight1"/>
    <w:basedOn w:val="DefaultParagraphFont"/>
    <w:rsid w:val="00947794"/>
    <w:rPr>
      <w:b/>
      <w:bCs/>
      <w:color w:val="CC0000"/>
    </w:rPr>
  </w:style>
  <w:style w:type="character" w:customStyle="1" w:styleId="titles-title1">
    <w:name w:val="titles-title1"/>
    <w:basedOn w:val="DefaultParagraphFont"/>
    <w:rsid w:val="00947794"/>
    <w:rPr>
      <w:b/>
      <w:bCs/>
    </w:rPr>
  </w:style>
  <w:style w:type="character" w:customStyle="1" w:styleId="titles-source1">
    <w:name w:val="titles-source1"/>
    <w:basedOn w:val="DefaultParagraphFont"/>
    <w:rsid w:val="00947794"/>
    <w:rPr>
      <w:i/>
      <w:iCs/>
    </w:rPr>
  </w:style>
  <w:style w:type="character" w:styleId="Hyperlink">
    <w:name w:val="Hyperlink"/>
    <w:basedOn w:val="DefaultParagraphFont"/>
    <w:semiHidden/>
    <w:rsid w:val="00947794"/>
    <w:rPr>
      <w:color w:val="0000FF"/>
      <w:u w:val="single"/>
    </w:rPr>
  </w:style>
  <w:style w:type="character" w:customStyle="1" w:styleId="text">
    <w:name w:val="text"/>
    <w:basedOn w:val="DefaultParagraphFont"/>
    <w:rsid w:val="00947794"/>
  </w:style>
  <w:style w:type="character" w:styleId="Strong">
    <w:name w:val="Strong"/>
    <w:basedOn w:val="DefaultParagraphFont"/>
    <w:uiPriority w:val="22"/>
    <w:qFormat/>
    <w:rsid w:val="00947794"/>
    <w:rPr>
      <w:b/>
      <w:bCs/>
    </w:rPr>
  </w:style>
  <w:style w:type="character" w:styleId="Emphasis">
    <w:name w:val="Emphasis"/>
    <w:basedOn w:val="DefaultParagraphFont"/>
    <w:qFormat/>
    <w:rsid w:val="00947794"/>
    <w:rPr>
      <w:i/>
      <w:iCs/>
    </w:rPr>
  </w:style>
  <w:style w:type="paragraph" w:styleId="CommentSubject">
    <w:name w:val="annotation subject"/>
    <w:basedOn w:val="CommentText"/>
    <w:next w:val="CommentText"/>
    <w:link w:val="CommentSubjectChar"/>
    <w:uiPriority w:val="99"/>
    <w:semiHidden/>
    <w:unhideWhenUsed/>
    <w:rsid w:val="007F0B2E"/>
    <w:rPr>
      <w:b/>
      <w:bCs/>
    </w:rPr>
  </w:style>
  <w:style w:type="character" w:customStyle="1" w:styleId="CommentSubjectChar">
    <w:name w:val="Comment Subject Char"/>
    <w:basedOn w:val="CommentTextChar"/>
    <w:link w:val="CommentSubject"/>
    <w:uiPriority w:val="99"/>
    <w:semiHidden/>
    <w:rsid w:val="007F0B2E"/>
    <w:rPr>
      <w:rFonts w:eastAsia="Times New Roman" w:cs="Times New Roman"/>
      <w:b/>
      <w:bCs/>
      <w:sz w:val="20"/>
      <w:szCs w:val="20"/>
      <w:lang w:val="en-US"/>
    </w:rPr>
  </w:style>
  <w:style w:type="paragraph" w:styleId="Revision">
    <w:name w:val="Revision"/>
    <w:hidden/>
    <w:uiPriority w:val="99"/>
    <w:semiHidden/>
    <w:rsid w:val="00A039E0"/>
    <w:rPr>
      <w:rFonts w:eastAsia="Times New Roman" w:cs="Times New Roman"/>
      <w:szCs w:val="24"/>
      <w:lang w:val="en-US"/>
    </w:rPr>
  </w:style>
  <w:style w:type="paragraph" w:styleId="ListParagraph">
    <w:name w:val="List Paragraph"/>
    <w:basedOn w:val="Normal"/>
    <w:uiPriority w:val="34"/>
    <w:qFormat/>
    <w:rsid w:val="00616085"/>
    <w:pPr>
      <w:ind w:left="720"/>
      <w:contextualSpacing/>
    </w:pPr>
  </w:style>
  <w:style w:type="character" w:customStyle="1" w:styleId="apple-converted-space">
    <w:name w:val="apple-converted-space"/>
    <w:basedOn w:val="DefaultParagraphFont"/>
    <w:rsid w:val="00E63505"/>
  </w:style>
  <w:style w:type="character" w:customStyle="1" w:styleId="bibrecord-highlight-user">
    <w:name w:val="bibrecord-highlight-user"/>
    <w:basedOn w:val="DefaultParagraphFont"/>
    <w:rsid w:val="00E63505"/>
  </w:style>
  <w:style w:type="table" w:styleId="LightShading-Accent1">
    <w:name w:val="Light Shading Accent 1"/>
    <w:basedOn w:val="TableNormal"/>
    <w:uiPriority w:val="60"/>
    <w:rsid w:val="000258F6"/>
    <w:rPr>
      <w:rFonts w:asciiTheme="minorHAnsi" w:eastAsiaTheme="minorEastAsia" w:hAnsiTheme="minorHAnsi"/>
      <w:color w:val="365F91" w:themeColor="accent1" w:themeShade="BF"/>
      <w:sz w:val="22"/>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unhideWhenUsed/>
    <w:rsid w:val="000258F6"/>
  </w:style>
  <w:style w:type="character" w:customStyle="1" w:styleId="FootnoteTextChar">
    <w:name w:val="Footnote Text Char"/>
    <w:basedOn w:val="DefaultParagraphFont"/>
    <w:link w:val="FootnoteText"/>
    <w:uiPriority w:val="99"/>
    <w:rsid w:val="000258F6"/>
    <w:rPr>
      <w:rFonts w:eastAsia="Times New Roman" w:cs="Times New Roman"/>
      <w:szCs w:val="24"/>
      <w:lang w:val="en-US"/>
    </w:rPr>
  </w:style>
  <w:style w:type="character" w:styleId="FootnoteReference">
    <w:name w:val="footnote reference"/>
    <w:basedOn w:val="DefaultParagraphFont"/>
    <w:uiPriority w:val="99"/>
    <w:unhideWhenUsed/>
    <w:rsid w:val="000258F6"/>
    <w:rPr>
      <w:vertAlign w:val="superscript"/>
    </w:rPr>
  </w:style>
  <w:style w:type="character" w:customStyle="1" w:styleId="a">
    <w:name w:val="a"/>
    <w:basedOn w:val="DefaultParagraphFont"/>
    <w:rsid w:val="00C65B31"/>
  </w:style>
  <w:style w:type="character" w:customStyle="1" w:styleId="pp-place-title">
    <w:name w:val="pp-place-title"/>
    <w:basedOn w:val="DefaultParagraphFont"/>
    <w:rsid w:val="00417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3626">
      <w:bodyDiv w:val="1"/>
      <w:marLeft w:val="0"/>
      <w:marRight w:val="0"/>
      <w:marTop w:val="0"/>
      <w:marBottom w:val="0"/>
      <w:divBdr>
        <w:top w:val="none" w:sz="0" w:space="0" w:color="auto"/>
        <w:left w:val="none" w:sz="0" w:space="0" w:color="auto"/>
        <w:bottom w:val="none" w:sz="0" w:space="0" w:color="auto"/>
        <w:right w:val="none" w:sz="0" w:space="0" w:color="auto"/>
      </w:divBdr>
      <w:divsChild>
        <w:div w:id="1157185496">
          <w:marLeft w:val="0"/>
          <w:marRight w:val="0"/>
          <w:marTop w:val="0"/>
          <w:marBottom w:val="0"/>
          <w:divBdr>
            <w:top w:val="none" w:sz="0" w:space="0" w:color="auto"/>
            <w:left w:val="none" w:sz="0" w:space="0" w:color="auto"/>
            <w:bottom w:val="none" w:sz="0" w:space="0" w:color="auto"/>
            <w:right w:val="none" w:sz="0" w:space="0" w:color="auto"/>
          </w:divBdr>
        </w:div>
        <w:div w:id="1422722160">
          <w:marLeft w:val="0"/>
          <w:marRight w:val="0"/>
          <w:marTop w:val="0"/>
          <w:marBottom w:val="0"/>
          <w:divBdr>
            <w:top w:val="none" w:sz="0" w:space="0" w:color="auto"/>
            <w:left w:val="none" w:sz="0" w:space="0" w:color="auto"/>
            <w:bottom w:val="none" w:sz="0" w:space="0" w:color="auto"/>
            <w:right w:val="none" w:sz="0" w:space="0" w:color="auto"/>
          </w:divBdr>
        </w:div>
        <w:div w:id="1332876057">
          <w:marLeft w:val="0"/>
          <w:marRight w:val="0"/>
          <w:marTop w:val="0"/>
          <w:marBottom w:val="0"/>
          <w:divBdr>
            <w:top w:val="none" w:sz="0" w:space="0" w:color="auto"/>
            <w:left w:val="none" w:sz="0" w:space="0" w:color="auto"/>
            <w:bottom w:val="none" w:sz="0" w:space="0" w:color="auto"/>
            <w:right w:val="none" w:sz="0" w:space="0" w:color="auto"/>
          </w:divBdr>
        </w:div>
        <w:div w:id="1178231857">
          <w:marLeft w:val="0"/>
          <w:marRight w:val="0"/>
          <w:marTop w:val="0"/>
          <w:marBottom w:val="0"/>
          <w:divBdr>
            <w:top w:val="none" w:sz="0" w:space="0" w:color="auto"/>
            <w:left w:val="none" w:sz="0" w:space="0" w:color="auto"/>
            <w:bottom w:val="none" w:sz="0" w:space="0" w:color="auto"/>
            <w:right w:val="none" w:sz="0" w:space="0" w:color="auto"/>
          </w:divBdr>
        </w:div>
        <w:div w:id="1283413942">
          <w:marLeft w:val="0"/>
          <w:marRight w:val="0"/>
          <w:marTop w:val="0"/>
          <w:marBottom w:val="0"/>
          <w:divBdr>
            <w:top w:val="none" w:sz="0" w:space="0" w:color="auto"/>
            <w:left w:val="none" w:sz="0" w:space="0" w:color="auto"/>
            <w:bottom w:val="none" w:sz="0" w:space="0" w:color="auto"/>
            <w:right w:val="none" w:sz="0" w:space="0" w:color="auto"/>
          </w:divBdr>
        </w:div>
      </w:divsChild>
    </w:div>
    <w:div w:id="142703105">
      <w:bodyDiv w:val="1"/>
      <w:marLeft w:val="0"/>
      <w:marRight w:val="0"/>
      <w:marTop w:val="0"/>
      <w:marBottom w:val="0"/>
      <w:divBdr>
        <w:top w:val="none" w:sz="0" w:space="0" w:color="auto"/>
        <w:left w:val="none" w:sz="0" w:space="0" w:color="auto"/>
        <w:bottom w:val="none" w:sz="0" w:space="0" w:color="auto"/>
        <w:right w:val="none" w:sz="0" w:space="0" w:color="auto"/>
      </w:divBdr>
    </w:div>
    <w:div w:id="145976299">
      <w:bodyDiv w:val="1"/>
      <w:marLeft w:val="0"/>
      <w:marRight w:val="0"/>
      <w:marTop w:val="0"/>
      <w:marBottom w:val="0"/>
      <w:divBdr>
        <w:top w:val="none" w:sz="0" w:space="0" w:color="auto"/>
        <w:left w:val="none" w:sz="0" w:space="0" w:color="auto"/>
        <w:bottom w:val="none" w:sz="0" w:space="0" w:color="auto"/>
        <w:right w:val="none" w:sz="0" w:space="0" w:color="auto"/>
      </w:divBdr>
    </w:div>
    <w:div w:id="284392009">
      <w:bodyDiv w:val="1"/>
      <w:marLeft w:val="0"/>
      <w:marRight w:val="0"/>
      <w:marTop w:val="0"/>
      <w:marBottom w:val="0"/>
      <w:divBdr>
        <w:top w:val="none" w:sz="0" w:space="0" w:color="auto"/>
        <w:left w:val="none" w:sz="0" w:space="0" w:color="auto"/>
        <w:bottom w:val="none" w:sz="0" w:space="0" w:color="auto"/>
        <w:right w:val="none" w:sz="0" w:space="0" w:color="auto"/>
      </w:divBdr>
      <w:divsChild>
        <w:div w:id="377706877">
          <w:marLeft w:val="0"/>
          <w:marRight w:val="0"/>
          <w:marTop w:val="0"/>
          <w:marBottom w:val="0"/>
          <w:divBdr>
            <w:top w:val="none" w:sz="0" w:space="0" w:color="auto"/>
            <w:left w:val="none" w:sz="0" w:space="0" w:color="auto"/>
            <w:bottom w:val="none" w:sz="0" w:space="0" w:color="auto"/>
            <w:right w:val="none" w:sz="0" w:space="0" w:color="auto"/>
          </w:divBdr>
          <w:divsChild>
            <w:div w:id="1502159158">
              <w:marLeft w:val="0"/>
              <w:marRight w:val="0"/>
              <w:marTop w:val="0"/>
              <w:marBottom w:val="0"/>
              <w:divBdr>
                <w:top w:val="none" w:sz="0" w:space="0" w:color="auto"/>
                <w:left w:val="none" w:sz="0" w:space="0" w:color="auto"/>
                <w:bottom w:val="single" w:sz="18" w:space="1" w:color="auto"/>
                <w:right w:val="none" w:sz="0" w:space="0" w:color="auto"/>
              </w:divBdr>
              <w:divsChild>
                <w:div w:id="2145614335">
                  <w:marLeft w:val="0"/>
                  <w:marRight w:val="0"/>
                  <w:marTop w:val="280"/>
                  <w:marBottom w:val="280"/>
                  <w:divBdr>
                    <w:top w:val="none" w:sz="0" w:space="0" w:color="auto"/>
                    <w:left w:val="none" w:sz="0" w:space="0" w:color="auto"/>
                    <w:bottom w:val="none" w:sz="0" w:space="0" w:color="auto"/>
                    <w:right w:val="none" w:sz="0" w:space="0" w:color="auto"/>
                  </w:divBdr>
                </w:div>
              </w:divsChild>
            </w:div>
            <w:div w:id="364411492">
              <w:marLeft w:val="0"/>
              <w:marRight w:val="0"/>
              <w:marTop w:val="280"/>
              <w:marBottom w:val="280"/>
              <w:divBdr>
                <w:top w:val="none" w:sz="0" w:space="0" w:color="auto"/>
                <w:left w:val="none" w:sz="0" w:space="0" w:color="auto"/>
                <w:bottom w:val="none" w:sz="0" w:space="0" w:color="auto"/>
                <w:right w:val="none" w:sz="0" w:space="0" w:color="auto"/>
              </w:divBdr>
            </w:div>
            <w:div w:id="1811554888">
              <w:marLeft w:val="0"/>
              <w:marRight w:val="0"/>
              <w:marTop w:val="280"/>
              <w:marBottom w:val="280"/>
              <w:divBdr>
                <w:top w:val="none" w:sz="0" w:space="0" w:color="auto"/>
                <w:left w:val="none" w:sz="0" w:space="0" w:color="auto"/>
                <w:bottom w:val="none" w:sz="0" w:space="0" w:color="auto"/>
                <w:right w:val="none" w:sz="0" w:space="0" w:color="auto"/>
              </w:divBdr>
            </w:div>
            <w:div w:id="1046221372">
              <w:marLeft w:val="0"/>
              <w:marRight w:val="0"/>
              <w:marTop w:val="280"/>
              <w:marBottom w:val="280"/>
              <w:divBdr>
                <w:top w:val="none" w:sz="0" w:space="0" w:color="auto"/>
                <w:left w:val="none" w:sz="0" w:space="0" w:color="auto"/>
                <w:bottom w:val="none" w:sz="0" w:space="0" w:color="auto"/>
                <w:right w:val="none" w:sz="0" w:space="0" w:color="auto"/>
              </w:divBdr>
            </w:div>
            <w:div w:id="175966428">
              <w:marLeft w:val="0"/>
              <w:marRight w:val="0"/>
              <w:marTop w:val="280"/>
              <w:marBottom w:val="280"/>
              <w:divBdr>
                <w:top w:val="none" w:sz="0" w:space="0" w:color="auto"/>
                <w:left w:val="none" w:sz="0" w:space="0" w:color="auto"/>
                <w:bottom w:val="none" w:sz="0" w:space="0" w:color="auto"/>
                <w:right w:val="none" w:sz="0" w:space="0" w:color="auto"/>
              </w:divBdr>
            </w:div>
            <w:div w:id="2019232497">
              <w:marLeft w:val="0"/>
              <w:marRight w:val="0"/>
              <w:marTop w:val="280"/>
              <w:marBottom w:val="280"/>
              <w:divBdr>
                <w:top w:val="none" w:sz="0" w:space="0" w:color="auto"/>
                <w:left w:val="none" w:sz="0" w:space="0" w:color="auto"/>
                <w:bottom w:val="none" w:sz="0" w:space="0" w:color="auto"/>
                <w:right w:val="none" w:sz="0" w:space="0" w:color="auto"/>
              </w:divBdr>
            </w:div>
            <w:div w:id="974798138">
              <w:marLeft w:val="0"/>
              <w:marRight w:val="0"/>
              <w:marTop w:val="280"/>
              <w:marBottom w:val="280"/>
              <w:divBdr>
                <w:top w:val="none" w:sz="0" w:space="0" w:color="auto"/>
                <w:left w:val="none" w:sz="0" w:space="0" w:color="auto"/>
                <w:bottom w:val="none" w:sz="0" w:space="0" w:color="auto"/>
                <w:right w:val="none" w:sz="0" w:space="0" w:color="auto"/>
              </w:divBdr>
            </w:div>
            <w:div w:id="1946500399">
              <w:marLeft w:val="0"/>
              <w:marRight w:val="0"/>
              <w:marTop w:val="280"/>
              <w:marBottom w:val="280"/>
              <w:divBdr>
                <w:top w:val="none" w:sz="0" w:space="0" w:color="auto"/>
                <w:left w:val="none" w:sz="0" w:space="0" w:color="auto"/>
                <w:bottom w:val="none" w:sz="0" w:space="0" w:color="auto"/>
                <w:right w:val="none" w:sz="0" w:space="0" w:color="auto"/>
              </w:divBdr>
            </w:div>
            <w:div w:id="1513959892">
              <w:marLeft w:val="0"/>
              <w:marRight w:val="0"/>
              <w:marTop w:val="280"/>
              <w:marBottom w:val="280"/>
              <w:divBdr>
                <w:top w:val="none" w:sz="0" w:space="0" w:color="auto"/>
                <w:left w:val="none" w:sz="0" w:space="0" w:color="auto"/>
                <w:bottom w:val="none" w:sz="0" w:space="0" w:color="auto"/>
                <w:right w:val="none" w:sz="0" w:space="0" w:color="auto"/>
              </w:divBdr>
            </w:div>
            <w:div w:id="594556866">
              <w:marLeft w:val="0"/>
              <w:marRight w:val="0"/>
              <w:marTop w:val="280"/>
              <w:marBottom w:val="280"/>
              <w:divBdr>
                <w:top w:val="none" w:sz="0" w:space="0" w:color="auto"/>
                <w:left w:val="none" w:sz="0" w:space="0" w:color="auto"/>
                <w:bottom w:val="none" w:sz="0" w:space="0" w:color="auto"/>
                <w:right w:val="none" w:sz="0" w:space="0" w:color="auto"/>
              </w:divBdr>
            </w:div>
            <w:div w:id="767236607">
              <w:marLeft w:val="0"/>
              <w:marRight w:val="0"/>
              <w:marTop w:val="280"/>
              <w:marBottom w:val="280"/>
              <w:divBdr>
                <w:top w:val="none" w:sz="0" w:space="0" w:color="auto"/>
                <w:left w:val="none" w:sz="0" w:space="0" w:color="auto"/>
                <w:bottom w:val="none" w:sz="0" w:space="0" w:color="auto"/>
                <w:right w:val="none" w:sz="0" w:space="0" w:color="auto"/>
              </w:divBdr>
            </w:div>
            <w:div w:id="1817260598">
              <w:marLeft w:val="142"/>
              <w:marRight w:val="571"/>
              <w:marTop w:val="0"/>
              <w:marBottom w:val="0"/>
              <w:divBdr>
                <w:top w:val="none" w:sz="0" w:space="0" w:color="auto"/>
                <w:left w:val="none" w:sz="0" w:space="0" w:color="auto"/>
                <w:bottom w:val="none" w:sz="0" w:space="0" w:color="auto"/>
                <w:right w:val="none" w:sz="0" w:space="0" w:color="auto"/>
              </w:divBdr>
            </w:div>
            <w:div w:id="1359117201">
              <w:marLeft w:val="142"/>
              <w:marRight w:val="571"/>
              <w:marTop w:val="0"/>
              <w:marBottom w:val="0"/>
              <w:divBdr>
                <w:top w:val="none" w:sz="0" w:space="0" w:color="auto"/>
                <w:left w:val="none" w:sz="0" w:space="0" w:color="auto"/>
                <w:bottom w:val="none" w:sz="0" w:space="0" w:color="auto"/>
                <w:right w:val="none" w:sz="0" w:space="0" w:color="auto"/>
              </w:divBdr>
            </w:div>
          </w:divsChild>
        </w:div>
        <w:div w:id="741104381">
          <w:marLeft w:val="0"/>
          <w:marRight w:val="0"/>
          <w:marTop w:val="0"/>
          <w:marBottom w:val="0"/>
          <w:divBdr>
            <w:top w:val="none" w:sz="0" w:space="0" w:color="auto"/>
            <w:left w:val="none" w:sz="0" w:space="0" w:color="auto"/>
            <w:bottom w:val="none" w:sz="0" w:space="0" w:color="auto"/>
            <w:right w:val="none" w:sz="0" w:space="0" w:color="auto"/>
          </w:divBdr>
        </w:div>
        <w:div w:id="844393409">
          <w:marLeft w:val="0"/>
          <w:marRight w:val="0"/>
          <w:marTop w:val="0"/>
          <w:marBottom w:val="0"/>
          <w:divBdr>
            <w:top w:val="none" w:sz="0" w:space="0" w:color="auto"/>
            <w:left w:val="none" w:sz="0" w:space="0" w:color="auto"/>
            <w:bottom w:val="none" w:sz="0" w:space="0" w:color="auto"/>
            <w:right w:val="none" w:sz="0" w:space="0" w:color="auto"/>
          </w:divBdr>
        </w:div>
        <w:div w:id="1739744103">
          <w:marLeft w:val="0"/>
          <w:marRight w:val="0"/>
          <w:marTop w:val="0"/>
          <w:marBottom w:val="0"/>
          <w:divBdr>
            <w:top w:val="none" w:sz="0" w:space="0" w:color="auto"/>
            <w:left w:val="none" w:sz="0" w:space="0" w:color="auto"/>
            <w:bottom w:val="none" w:sz="0" w:space="0" w:color="auto"/>
            <w:right w:val="none" w:sz="0" w:space="0" w:color="auto"/>
          </w:divBdr>
        </w:div>
        <w:div w:id="479732936">
          <w:marLeft w:val="0"/>
          <w:marRight w:val="0"/>
          <w:marTop w:val="0"/>
          <w:marBottom w:val="0"/>
          <w:divBdr>
            <w:top w:val="none" w:sz="0" w:space="0" w:color="auto"/>
            <w:left w:val="none" w:sz="0" w:space="0" w:color="auto"/>
            <w:bottom w:val="none" w:sz="0" w:space="0" w:color="auto"/>
            <w:right w:val="none" w:sz="0" w:space="0" w:color="auto"/>
          </w:divBdr>
        </w:div>
        <w:div w:id="610550383">
          <w:marLeft w:val="0"/>
          <w:marRight w:val="0"/>
          <w:marTop w:val="0"/>
          <w:marBottom w:val="0"/>
          <w:divBdr>
            <w:top w:val="none" w:sz="0" w:space="0" w:color="auto"/>
            <w:left w:val="none" w:sz="0" w:space="0" w:color="auto"/>
            <w:bottom w:val="none" w:sz="0" w:space="0" w:color="auto"/>
            <w:right w:val="none" w:sz="0" w:space="0" w:color="auto"/>
          </w:divBdr>
        </w:div>
        <w:div w:id="1135367357">
          <w:marLeft w:val="0"/>
          <w:marRight w:val="0"/>
          <w:marTop w:val="0"/>
          <w:marBottom w:val="0"/>
          <w:divBdr>
            <w:top w:val="none" w:sz="0" w:space="0" w:color="auto"/>
            <w:left w:val="none" w:sz="0" w:space="0" w:color="auto"/>
            <w:bottom w:val="none" w:sz="0" w:space="0" w:color="auto"/>
            <w:right w:val="none" w:sz="0" w:space="0" w:color="auto"/>
          </w:divBdr>
        </w:div>
        <w:div w:id="1930693656">
          <w:marLeft w:val="0"/>
          <w:marRight w:val="0"/>
          <w:marTop w:val="0"/>
          <w:marBottom w:val="0"/>
          <w:divBdr>
            <w:top w:val="none" w:sz="0" w:space="0" w:color="auto"/>
            <w:left w:val="none" w:sz="0" w:space="0" w:color="auto"/>
            <w:bottom w:val="none" w:sz="0" w:space="0" w:color="auto"/>
            <w:right w:val="none" w:sz="0" w:space="0" w:color="auto"/>
          </w:divBdr>
        </w:div>
        <w:div w:id="2067677477">
          <w:marLeft w:val="0"/>
          <w:marRight w:val="0"/>
          <w:marTop w:val="0"/>
          <w:marBottom w:val="0"/>
          <w:divBdr>
            <w:top w:val="none" w:sz="0" w:space="0" w:color="auto"/>
            <w:left w:val="none" w:sz="0" w:space="0" w:color="auto"/>
            <w:bottom w:val="none" w:sz="0" w:space="0" w:color="auto"/>
            <w:right w:val="none" w:sz="0" w:space="0" w:color="auto"/>
          </w:divBdr>
        </w:div>
        <w:div w:id="1269385924">
          <w:marLeft w:val="0"/>
          <w:marRight w:val="0"/>
          <w:marTop w:val="0"/>
          <w:marBottom w:val="0"/>
          <w:divBdr>
            <w:top w:val="none" w:sz="0" w:space="0" w:color="auto"/>
            <w:left w:val="none" w:sz="0" w:space="0" w:color="auto"/>
            <w:bottom w:val="none" w:sz="0" w:space="0" w:color="auto"/>
            <w:right w:val="none" w:sz="0" w:space="0" w:color="auto"/>
          </w:divBdr>
        </w:div>
        <w:div w:id="1700548426">
          <w:marLeft w:val="0"/>
          <w:marRight w:val="0"/>
          <w:marTop w:val="0"/>
          <w:marBottom w:val="0"/>
          <w:divBdr>
            <w:top w:val="none" w:sz="0" w:space="0" w:color="auto"/>
            <w:left w:val="none" w:sz="0" w:space="0" w:color="auto"/>
            <w:bottom w:val="none" w:sz="0" w:space="0" w:color="auto"/>
            <w:right w:val="none" w:sz="0" w:space="0" w:color="auto"/>
          </w:divBdr>
        </w:div>
        <w:div w:id="1993562603">
          <w:marLeft w:val="0"/>
          <w:marRight w:val="0"/>
          <w:marTop w:val="0"/>
          <w:marBottom w:val="0"/>
          <w:divBdr>
            <w:top w:val="none" w:sz="0" w:space="0" w:color="auto"/>
            <w:left w:val="none" w:sz="0" w:space="0" w:color="auto"/>
            <w:bottom w:val="none" w:sz="0" w:space="0" w:color="auto"/>
            <w:right w:val="none" w:sz="0" w:space="0" w:color="auto"/>
          </w:divBdr>
        </w:div>
        <w:div w:id="709770701">
          <w:marLeft w:val="0"/>
          <w:marRight w:val="0"/>
          <w:marTop w:val="0"/>
          <w:marBottom w:val="0"/>
          <w:divBdr>
            <w:top w:val="none" w:sz="0" w:space="0" w:color="auto"/>
            <w:left w:val="none" w:sz="0" w:space="0" w:color="auto"/>
            <w:bottom w:val="none" w:sz="0" w:space="0" w:color="auto"/>
            <w:right w:val="none" w:sz="0" w:space="0" w:color="auto"/>
          </w:divBdr>
        </w:div>
        <w:div w:id="1863939154">
          <w:marLeft w:val="0"/>
          <w:marRight w:val="0"/>
          <w:marTop w:val="0"/>
          <w:marBottom w:val="0"/>
          <w:divBdr>
            <w:top w:val="none" w:sz="0" w:space="0" w:color="auto"/>
            <w:left w:val="none" w:sz="0" w:space="0" w:color="auto"/>
            <w:bottom w:val="none" w:sz="0" w:space="0" w:color="auto"/>
            <w:right w:val="none" w:sz="0" w:space="0" w:color="auto"/>
          </w:divBdr>
        </w:div>
        <w:div w:id="409545706">
          <w:marLeft w:val="0"/>
          <w:marRight w:val="0"/>
          <w:marTop w:val="280"/>
          <w:marBottom w:val="280"/>
          <w:divBdr>
            <w:top w:val="none" w:sz="0" w:space="0" w:color="auto"/>
            <w:left w:val="none" w:sz="0" w:space="0" w:color="auto"/>
            <w:bottom w:val="none" w:sz="0" w:space="0" w:color="auto"/>
            <w:right w:val="none" w:sz="0" w:space="0" w:color="auto"/>
          </w:divBdr>
        </w:div>
        <w:div w:id="1261643865">
          <w:marLeft w:val="0"/>
          <w:marRight w:val="0"/>
          <w:marTop w:val="0"/>
          <w:marBottom w:val="0"/>
          <w:divBdr>
            <w:top w:val="none" w:sz="0" w:space="0" w:color="auto"/>
            <w:left w:val="none" w:sz="0" w:space="0" w:color="auto"/>
            <w:bottom w:val="none" w:sz="0" w:space="0" w:color="auto"/>
            <w:right w:val="none" w:sz="0" w:space="0" w:color="auto"/>
          </w:divBdr>
        </w:div>
        <w:div w:id="32317204">
          <w:marLeft w:val="0"/>
          <w:marRight w:val="0"/>
          <w:marTop w:val="0"/>
          <w:marBottom w:val="0"/>
          <w:divBdr>
            <w:top w:val="none" w:sz="0" w:space="0" w:color="auto"/>
            <w:left w:val="none" w:sz="0" w:space="0" w:color="auto"/>
            <w:bottom w:val="none" w:sz="0" w:space="0" w:color="auto"/>
            <w:right w:val="none" w:sz="0" w:space="0" w:color="auto"/>
          </w:divBdr>
        </w:div>
        <w:div w:id="1349715741">
          <w:marLeft w:val="0"/>
          <w:marRight w:val="0"/>
          <w:marTop w:val="280"/>
          <w:marBottom w:val="280"/>
          <w:divBdr>
            <w:top w:val="none" w:sz="0" w:space="0" w:color="auto"/>
            <w:left w:val="none" w:sz="0" w:space="0" w:color="auto"/>
            <w:bottom w:val="none" w:sz="0" w:space="0" w:color="auto"/>
            <w:right w:val="none" w:sz="0" w:space="0" w:color="auto"/>
          </w:divBdr>
        </w:div>
        <w:div w:id="1997416379">
          <w:marLeft w:val="0"/>
          <w:marRight w:val="0"/>
          <w:marTop w:val="280"/>
          <w:marBottom w:val="280"/>
          <w:divBdr>
            <w:top w:val="none" w:sz="0" w:space="0" w:color="auto"/>
            <w:left w:val="none" w:sz="0" w:space="0" w:color="auto"/>
            <w:bottom w:val="none" w:sz="0" w:space="0" w:color="auto"/>
            <w:right w:val="none" w:sz="0" w:space="0" w:color="auto"/>
          </w:divBdr>
        </w:div>
        <w:div w:id="1463957439">
          <w:marLeft w:val="0"/>
          <w:marRight w:val="0"/>
          <w:marTop w:val="280"/>
          <w:marBottom w:val="280"/>
          <w:divBdr>
            <w:top w:val="none" w:sz="0" w:space="0" w:color="auto"/>
            <w:left w:val="none" w:sz="0" w:space="0" w:color="auto"/>
            <w:bottom w:val="none" w:sz="0" w:space="0" w:color="auto"/>
            <w:right w:val="none" w:sz="0" w:space="0" w:color="auto"/>
          </w:divBdr>
        </w:div>
        <w:div w:id="569854824">
          <w:marLeft w:val="0"/>
          <w:marRight w:val="0"/>
          <w:marTop w:val="0"/>
          <w:marBottom w:val="0"/>
          <w:divBdr>
            <w:top w:val="none" w:sz="0" w:space="0" w:color="auto"/>
            <w:left w:val="none" w:sz="0" w:space="0" w:color="auto"/>
            <w:bottom w:val="none" w:sz="0" w:space="0" w:color="auto"/>
            <w:right w:val="none" w:sz="0" w:space="0" w:color="auto"/>
          </w:divBdr>
        </w:div>
        <w:div w:id="1751852273">
          <w:marLeft w:val="0"/>
          <w:marRight w:val="0"/>
          <w:marTop w:val="0"/>
          <w:marBottom w:val="0"/>
          <w:divBdr>
            <w:top w:val="none" w:sz="0" w:space="0" w:color="auto"/>
            <w:left w:val="none" w:sz="0" w:space="0" w:color="auto"/>
            <w:bottom w:val="none" w:sz="0" w:space="0" w:color="auto"/>
            <w:right w:val="none" w:sz="0" w:space="0" w:color="auto"/>
          </w:divBdr>
        </w:div>
        <w:div w:id="610627351">
          <w:marLeft w:val="0"/>
          <w:marRight w:val="0"/>
          <w:marTop w:val="280"/>
          <w:marBottom w:val="280"/>
          <w:divBdr>
            <w:top w:val="none" w:sz="0" w:space="0" w:color="auto"/>
            <w:left w:val="none" w:sz="0" w:space="0" w:color="auto"/>
            <w:bottom w:val="none" w:sz="0" w:space="0" w:color="auto"/>
            <w:right w:val="none" w:sz="0" w:space="0" w:color="auto"/>
          </w:divBdr>
        </w:div>
        <w:div w:id="1900902406">
          <w:marLeft w:val="0"/>
          <w:marRight w:val="0"/>
          <w:marTop w:val="280"/>
          <w:marBottom w:val="280"/>
          <w:divBdr>
            <w:top w:val="none" w:sz="0" w:space="0" w:color="auto"/>
            <w:left w:val="none" w:sz="0" w:space="0" w:color="auto"/>
            <w:bottom w:val="none" w:sz="0" w:space="0" w:color="auto"/>
            <w:right w:val="none" w:sz="0" w:space="0" w:color="auto"/>
          </w:divBdr>
        </w:div>
        <w:div w:id="445198433">
          <w:marLeft w:val="0"/>
          <w:marRight w:val="0"/>
          <w:marTop w:val="280"/>
          <w:marBottom w:val="280"/>
          <w:divBdr>
            <w:top w:val="none" w:sz="0" w:space="0" w:color="auto"/>
            <w:left w:val="none" w:sz="0" w:space="0" w:color="auto"/>
            <w:bottom w:val="none" w:sz="0" w:space="0" w:color="auto"/>
            <w:right w:val="none" w:sz="0" w:space="0" w:color="auto"/>
          </w:divBdr>
        </w:div>
        <w:div w:id="2095784503">
          <w:marLeft w:val="0"/>
          <w:marRight w:val="0"/>
          <w:marTop w:val="280"/>
          <w:marBottom w:val="280"/>
          <w:divBdr>
            <w:top w:val="none" w:sz="0" w:space="0" w:color="auto"/>
            <w:left w:val="none" w:sz="0" w:space="0" w:color="auto"/>
            <w:bottom w:val="none" w:sz="0" w:space="0" w:color="auto"/>
            <w:right w:val="none" w:sz="0" w:space="0" w:color="auto"/>
          </w:divBdr>
        </w:div>
        <w:div w:id="738868776">
          <w:marLeft w:val="0"/>
          <w:marRight w:val="0"/>
          <w:marTop w:val="280"/>
          <w:marBottom w:val="280"/>
          <w:divBdr>
            <w:top w:val="none" w:sz="0" w:space="0" w:color="auto"/>
            <w:left w:val="none" w:sz="0" w:space="0" w:color="auto"/>
            <w:bottom w:val="none" w:sz="0" w:space="0" w:color="auto"/>
            <w:right w:val="none" w:sz="0" w:space="0" w:color="auto"/>
          </w:divBdr>
        </w:div>
      </w:divsChild>
    </w:div>
    <w:div w:id="822744512">
      <w:bodyDiv w:val="1"/>
      <w:marLeft w:val="0"/>
      <w:marRight w:val="0"/>
      <w:marTop w:val="0"/>
      <w:marBottom w:val="0"/>
      <w:divBdr>
        <w:top w:val="none" w:sz="0" w:space="0" w:color="auto"/>
        <w:left w:val="none" w:sz="0" w:space="0" w:color="auto"/>
        <w:bottom w:val="none" w:sz="0" w:space="0" w:color="auto"/>
        <w:right w:val="none" w:sz="0" w:space="0" w:color="auto"/>
      </w:divBdr>
      <w:divsChild>
        <w:div w:id="1237862153">
          <w:marLeft w:val="0"/>
          <w:marRight w:val="0"/>
          <w:marTop w:val="0"/>
          <w:marBottom w:val="0"/>
          <w:divBdr>
            <w:top w:val="none" w:sz="0" w:space="0" w:color="auto"/>
            <w:left w:val="none" w:sz="0" w:space="0" w:color="auto"/>
            <w:bottom w:val="none" w:sz="0" w:space="0" w:color="auto"/>
            <w:right w:val="none" w:sz="0" w:space="0" w:color="auto"/>
          </w:divBdr>
        </w:div>
      </w:divsChild>
    </w:div>
    <w:div w:id="1181699530">
      <w:bodyDiv w:val="1"/>
      <w:marLeft w:val="0"/>
      <w:marRight w:val="0"/>
      <w:marTop w:val="0"/>
      <w:marBottom w:val="0"/>
      <w:divBdr>
        <w:top w:val="none" w:sz="0" w:space="0" w:color="auto"/>
        <w:left w:val="none" w:sz="0" w:space="0" w:color="auto"/>
        <w:bottom w:val="none" w:sz="0" w:space="0" w:color="auto"/>
        <w:right w:val="none" w:sz="0" w:space="0" w:color="auto"/>
      </w:divBdr>
    </w:div>
    <w:div w:id="1254513387">
      <w:bodyDiv w:val="1"/>
      <w:marLeft w:val="0"/>
      <w:marRight w:val="0"/>
      <w:marTop w:val="0"/>
      <w:marBottom w:val="0"/>
      <w:divBdr>
        <w:top w:val="none" w:sz="0" w:space="0" w:color="auto"/>
        <w:left w:val="none" w:sz="0" w:space="0" w:color="auto"/>
        <w:bottom w:val="none" w:sz="0" w:space="0" w:color="auto"/>
        <w:right w:val="none" w:sz="0" w:space="0" w:color="auto"/>
      </w:divBdr>
    </w:div>
    <w:div w:id="1543588277">
      <w:bodyDiv w:val="1"/>
      <w:marLeft w:val="0"/>
      <w:marRight w:val="0"/>
      <w:marTop w:val="0"/>
      <w:marBottom w:val="0"/>
      <w:divBdr>
        <w:top w:val="none" w:sz="0" w:space="0" w:color="auto"/>
        <w:left w:val="none" w:sz="0" w:space="0" w:color="auto"/>
        <w:bottom w:val="none" w:sz="0" w:space="0" w:color="auto"/>
        <w:right w:val="none" w:sz="0" w:space="0" w:color="auto"/>
      </w:divBdr>
    </w:div>
    <w:div w:id="1659842684">
      <w:bodyDiv w:val="1"/>
      <w:marLeft w:val="0"/>
      <w:marRight w:val="0"/>
      <w:marTop w:val="0"/>
      <w:marBottom w:val="0"/>
      <w:divBdr>
        <w:top w:val="none" w:sz="0" w:space="0" w:color="auto"/>
        <w:left w:val="none" w:sz="0" w:space="0" w:color="auto"/>
        <w:bottom w:val="none" w:sz="0" w:space="0" w:color="auto"/>
        <w:right w:val="none" w:sz="0" w:space="0" w:color="auto"/>
      </w:divBdr>
      <w:divsChild>
        <w:div w:id="699672621">
          <w:marLeft w:val="0"/>
          <w:marRight w:val="0"/>
          <w:marTop w:val="0"/>
          <w:marBottom w:val="0"/>
          <w:divBdr>
            <w:top w:val="none" w:sz="0" w:space="0" w:color="auto"/>
            <w:left w:val="none" w:sz="0" w:space="0" w:color="auto"/>
            <w:bottom w:val="none" w:sz="0" w:space="0" w:color="auto"/>
            <w:right w:val="none" w:sz="0" w:space="0" w:color="auto"/>
          </w:divBdr>
        </w:div>
      </w:divsChild>
    </w:div>
    <w:div w:id="1983583829">
      <w:bodyDiv w:val="1"/>
      <w:marLeft w:val="0"/>
      <w:marRight w:val="0"/>
      <w:marTop w:val="0"/>
      <w:marBottom w:val="0"/>
      <w:divBdr>
        <w:top w:val="none" w:sz="0" w:space="0" w:color="auto"/>
        <w:left w:val="none" w:sz="0" w:space="0" w:color="auto"/>
        <w:bottom w:val="none" w:sz="0" w:space="0" w:color="auto"/>
        <w:right w:val="none" w:sz="0" w:space="0" w:color="auto"/>
      </w:divBdr>
      <w:divsChild>
        <w:div w:id="1824925703">
          <w:marLeft w:val="0"/>
          <w:marRight w:val="0"/>
          <w:marTop w:val="0"/>
          <w:marBottom w:val="0"/>
          <w:divBdr>
            <w:top w:val="none" w:sz="0" w:space="0" w:color="auto"/>
            <w:left w:val="none" w:sz="0" w:space="0" w:color="auto"/>
            <w:bottom w:val="none" w:sz="0" w:space="0" w:color="auto"/>
            <w:right w:val="none" w:sz="0" w:space="0" w:color="auto"/>
          </w:divBdr>
        </w:div>
        <w:div w:id="630596175">
          <w:marLeft w:val="0"/>
          <w:marRight w:val="0"/>
          <w:marTop w:val="0"/>
          <w:marBottom w:val="0"/>
          <w:divBdr>
            <w:top w:val="none" w:sz="0" w:space="0" w:color="auto"/>
            <w:left w:val="none" w:sz="0" w:space="0" w:color="auto"/>
            <w:bottom w:val="none" w:sz="0" w:space="0" w:color="auto"/>
            <w:right w:val="none" w:sz="0" w:space="0" w:color="auto"/>
          </w:divBdr>
        </w:div>
        <w:div w:id="1183125075">
          <w:marLeft w:val="0"/>
          <w:marRight w:val="0"/>
          <w:marTop w:val="0"/>
          <w:marBottom w:val="0"/>
          <w:divBdr>
            <w:top w:val="none" w:sz="0" w:space="0" w:color="auto"/>
            <w:left w:val="none" w:sz="0" w:space="0" w:color="auto"/>
            <w:bottom w:val="none" w:sz="0" w:space="0" w:color="auto"/>
            <w:right w:val="none" w:sz="0" w:space="0" w:color="auto"/>
          </w:divBdr>
        </w:div>
        <w:div w:id="516968432">
          <w:marLeft w:val="0"/>
          <w:marRight w:val="0"/>
          <w:marTop w:val="0"/>
          <w:marBottom w:val="0"/>
          <w:divBdr>
            <w:top w:val="none" w:sz="0" w:space="0" w:color="auto"/>
            <w:left w:val="none" w:sz="0" w:space="0" w:color="auto"/>
            <w:bottom w:val="none" w:sz="0" w:space="0" w:color="auto"/>
            <w:right w:val="none" w:sz="0" w:space="0" w:color="auto"/>
          </w:divBdr>
        </w:div>
        <w:div w:id="1375696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opus.com/search/submit/author.url?author=Goetz+T.&amp;origin=resultslist&amp;authorId=7006674828"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copus.com/record/display.url?eid=2-s2.0-84885356380&amp;origin=resultslist&amp;sort=plf-f&amp;cite=2-s2.0-84885356380&amp;src=s&amp;imp=t&amp;sid=240399CFB09EE86C77B6A5F063B3616C.FZg2ODcJC9ArCe8WOZPvA%3a20&amp;sot=cite&amp;sdt=a&amp;sl=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yperlink" Target="http://www.scopus.com/search/submit/author.url?author=Hall+N.C.&amp;origin=resultslist&amp;authorId=35320079000" TargetMode="External"/><Relationship Id="rId10" Type="http://schemas.openxmlformats.org/officeDocument/2006/relationships/image" Target="media/image1.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ss.sagepub.com/search?author1=Oliver+L%C3%BCdtke&amp;sortspec=date&amp;submit=Submit" TargetMode="External"/><Relationship Id="rId14" Type="http://schemas.openxmlformats.org/officeDocument/2006/relationships/hyperlink" Target="http://www.scopus.com/search/submit/author.url?author=Ludtke+O.&amp;origin=resultslist&amp;authorId=6603505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FB3DD-9C56-4C3D-8B64-54651D52B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7658</Words>
  <Characters>43651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Nathan Hall</cp:lastModifiedBy>
  <cp:revision>3</cp:revision>
  <cp:lastPrinted>2014-02-27T15:00:00Z</cp:lastPrinted>
  <dcterms:created xsi:type="dcterms:W3CDTF">2014-02-27T15:09:00Z</dcterms:created>
  <dcterms:modified xsi:type="dcterms:W3CDTF">2014-02-27T15:09:00Z</dcterms:modified>
</cp:coreProperties>
</file>